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AB2D" w14:textId="77777777" w:rsidR="00897792" w:rsidRPr="005B6F2A" w:rsidRDefault="00897792" w:rsidP="00897792">
      <w:pPr>
        <w:pStyle w:val="Normal0"/>
        <w:jc w:val="center"/>
      </w:pPr>
      <w:r w:rsidRPr="005B6F2A">
        <w:t>INTERLOCAL COOPERATION AGREEMENT</w:t>
      </w:r>
    </w:p>
    <w:p w14:paraId="445E9C4A" w14:textId="77777777" w:rsidR="00897792" w:rsidRPr="005B6F2A" w:rsidRDefault="00897792" w:rsidP="00897792">
      <w:pPr>
        <w:pStyle w:val="BodyText5"/>
      </w:pPr>
      <w:r w:rsidRPr="005B6F2A">
        <w:t>This INTERLOCAL COOPERATION AGREEMENT (the “Agreement”) is ente</w:t>
      </w:r>
      <w:r w:rsidR="0004052C" w:rsidRPr="005B6F2A">
        <w:t>red into</w:t>
      </w:r>
      <w:r w:rsidRPr="005B6F2A">
        <w:t xml:space="preserve"> by WASHINGTON COUNTY, UTAH, a corporation and political subdivision of the State of Utah (the “County”), and </w:t>
      </w:r>
      <w:r w:rsidR="00EC308E" w:rsidRPr="005B6F2A">
        <w:t>Leeds Town</w:t>
      </w:r>
      <w:r w:rsidR="0004052C" w:rsidRPr="005B6F2A">
        <w:t xml:space="preserve"> (the “</w:t>
      </w:r>
      <w:r w:rsidR="00EC308E" w:rsidRPr="005B6F2A">
        <w:t>Town</w:t>
      </w:r>
      <w:r w:rsidRPr="005B6F2A">
        <w:t xml:space="preserve">”), </w:t>
      </w:r>
      <w:r w:rsidR="00EC308E" w:rsidRPr="005B6F2A">
        <w:t xml:space="preserve">a municipality </w:t>
      </w:r>
      <w:r w:rsidRPr="005B6F2A">
        <w:t>located within the County, (collectively, the “Parties”).</w:t>
      </w:r>
    </w:p>
    <w:p w14:paraId="7C9E8C89" w14:textId="77777777" w:rsidR="00897792" w:rsidRPr="005B6F2A" w:rsidRDefault="0004052C" w:rsidP="00897792">
      <w:pPr>
        <w:pStyle w:val="Normal0"/>
        <w:jc w:val="center"/>
        <w:rPr>
          <w:b/>
        </w:rPr>
      </w:pPr>
      <w:r w:rsidRPr="005B6F2A">
        <w:rPr>
          <w:b/>
        </w:rPr>
        <w:t>RECI</w:t>
      </w:r>
      <w:r w:rsidR="00BD3111" w:rsidRPr="005B6F2A">
        <w:rPr>
          <w:b/>
        </w:rPr>
        <w:t>TALS</w:t>
      </w:r>
    </w:p>
    <w:p w14:paraId="698252D0" w14:textId="77777777" w:rsidR="00EC308E" w:rsidRPr="005B6F2A" w:rsidRDefault="0004052C" w:rsidP="0004052C">
      <w:pPr>
        <w:pStyle w:val="BodyText5"/>
      </w:pPr>
      <w:r w:rsidRPr="005B6F2A">
        <w:t xml:space="preserve">WHEREAS, </w:t>
      </w:r>
      <w:r w:rsidR="00EC308E" w:rsidRPr="005B6F2A">
        <w:t xml:space="preserve">the County is the owner of real property, Parcels </w:t>
      </w:r>
      <w:r w:rsidR="002B20B6" w:rsidRPr="005B6F2A">
        <w:t>L-4028-A-1-B and L</w:t>
      </w:r>
      <w:r w:rsidR="00297EFB" w:rsidRPr="00E740D3">
        <w:t>-3192-C</w:t>
      </w:r>
      <w:r w:rsidR="00EC308E" w:rsidRPr="005B6F2A">
        <w:t xml:space="preserve"> (the “Properties”), located within the incorporated limits of Leeds Town;</w:t>
      </w:r>
    </w:p>
    <w:p w14:paraId="47AFD6E5" w14:textId="58E7CD50" w:rsidR="00EC308E" w:rsidRPr="00001C01" w:rsidRDefault="00EC308E" w:rsidP="0004052C">
      <w:pPr>
        <w:pStyle w:val="BodyText5"/>
      </w:pPr>
      <w:r w:rsidRPr="005B6F2A">
        <w:t xml:space="preserve">WHEREAS, the </w:t>
      </w:r>
      <w:r w:rsidR="0006645E" w:rsidRPr="005B6F2A">
        <w:t>Properties</w:t>
      </w:r>
      <w:r w:rsidRPr="005B6F2A">
        <w:t xml:space="preserve"> </w:t>
      </w:r>
      <w:r w:rsidR="0006645E" w:rsidRPr="005B6F2A">
        <w:t>were</w:t>
      </w:r>
      <w:r w:rsidRPr="005B6F2A">
        <w:t xml:space="preserve"> located in unincorporated </w:t>
      </w:r>
      <w:r w:rsidRPr="00001C01">
        <w:t>county</w:t>
      </w:r>
      <w:r w:rsidR="004B0A81" w:rsidRPr="00001C01">
        <w:t xml:space="preserve"> </w:t>
      </w:r>
      <w:r w:rsidR="00A44C57" w:rsidRPr="00001C01">
        <w:t>as</w:t>
      </w:r>
      <w:r w:rsidR="00A66A79" w:rsidRPr="00001C01">
        <w:t xml:space="preserve"> </w:t>
      </w:r>
      <w:r w:rsidR="00001C01" w:rsidRPr="00001C01">
        <w:t>designated historical</w:t>
      </w:r>
      <w:r w:rsidR="004B0A81" w:rsidRPr="00001C01">
        <w:t xml:space="preserve"> park lands</w:t>
      </w:r>
      <w:r w:rsidR="00A82D9D" w:rsidRPr="00001C01">
        <w:t>,</w:t>
      </w:r>
      <w:r w:rsidRPr="00001C01">
        <w:t xml:space="preserve"> but were</w:t>
      </w:r>
      <w:r w:rsidR="0006645E" w:rsidRPr="00001C01">
        <w:t xml:space="preserve"> later</w:t>
      </w:r>
      <w:r w:rsidRPr="00001C01">
        <w:t xml:space="preserve"> </w:t>
      </w:r>
      <w:r w:rsidR="00001C01" w:rsidRPr="00001C01">
        <w:t>annexed into</w:t>
      </w:r>
      <w:r w:rsidRPr="00001C01">
        <w:t xml:space="preserve"> the Town </w:t>
      </w:r>
      <w:r w:rsidR="004E1FCE" w:rsidRPr="00001C01">
        <w:t>o</w:t>
      </w:r>
      <w:r w:rsidRPr="00001C01">
        <w:t xml:space="preserve">n </w:t>
      </w:r>
      <w:r w:rsidR="004E1FCE" w:rsidRPr="00001C01">
        <w:t>July 23, 2003</w:t>
      </w:r>
      <w:r w:rsidR="00345264" w:rsidRPr="00001C01">
        <w:t>;</w:t>
      </w:r>
    </w:p>
    <w:p w14:paraId="3FD3E728" w14:textId="54E89766" w:rsidR="00EC308E" w:rsidRDefault="00EC308E" w:rsidP="0004052C">
      <w:pPr>
        <w:pStyle w:val="BodyText5"/>
      </w:pPr>
      <w:r w:rsidRPr="00001C01">
        <w:t xml:space="preserve">WHEREAS, </w:t>
      </w:r>
      <w:r w:rsidR="00D44A02" w:rsidRPr="00001C01">
        <w:t xml:space="preserve">the Parties are desirous that the Properties maintain their status as historical park lands because </w:t>
      </w:r>
      <w:r w:rsidRPr="00001C01">
        <w:t>the Properties have historical significance and contain historical structures and sites that the County and the Town d</w:t>
      </w:r>
      <w:r w:rsidR="00D44A02" w:rsidRPr="00001C01">
        <w:t>esire to protect</w:t>
      </w:r>
      <w:r w:rsidR="00D44A02">
        <w:t xml:space="preserve"> and preserve</w:t>
      </w:r>
      <w:r w:rsidR="00001C01">
        <w:t>;</w:t>
      </w:r>
      <w:r w:rsidR="00D26FB5">
        <w:t xml:space="preserve"> </w:t>
      </w:r>
    </w:p>
    <w:p w14:paraId="696AE875" w14:textId="2C05F1F1" w:rsidR="00D26FB5" w:rsidRPr="00001C01" w:rsidRDefault="00D26FB5" w:rsidP="0004052C">
      <w:pPr>
        <w:pStyle w:val="BodyText5"/>
      </w:pPr>
      <w:r w:rsidRPr="00001C01">
        <w:t xml:space="preserve">WHEREAS, the Town has no ordinance dealing with Historical Park Lands, the Parties </w:t>
      </w:r>
      <w:r w:rsidR="00BA027C" w:rsidRPr="00001C01">
        <w:t xml:space="preserve">desire to </w:t>
      </w:r>
      <w:r w:rsidRPr="00001C01">
        <w:t xml:space="preserve">provide a legal </w:t>
      </w:r>
      <w:r w:rsidR="00D1729A" w:rsidRPr="00001C01">
        <w:t>framework</w:t>
      </w:r>
      <w:r w:rsidRPr="00001C01">
        <w:t xml:space="preserve"> to administer them</w:t>
      </w:r>
      <w:r w:rsidR="00001C01" w:rsidRPr="00001C01">
        <w:t>;</w:t>
      </w:r>
    </w:p>
    <w:p w14:paraId="3F57CCD0" w14:textId="7B1F85E3" w:rsidR="00EC308E" w:rsidRPr="005B6F2A" w:rsidRDefault="00EC308E" w:rsidP="0004052C">
      <w:pPr>
        <w:pStyle w:val="BodyText5"/>
      </w:pPr>
      <w:r w:rsidRPr="00001C01">
        <w:t>WHEREAS, the County has contracted with a non-profit organization to manage</w:t>
      </w:r>
      <w:r w:rsidR="0006645E" w:rsidRPr="00001C01">
        <w:t xml:space="preserve"> the</w:t>
      </w:r>
      <w:r w:rsidRPr="00001C01">
        <w:t xml:space="preserve"> </w:t>
      </w:r>
      <w:r w:rsidR="00931363" w:rsidRPr="00001C01">
        <w:t xml:space="preserve">Properties </w:t>
      </w:r>
      <w:r w:rsidR="000F3F04" w:rsidRPr="00001C01">
        <w:t xml:space="preserve">and </w:t>
      </w:r>
      <w:r w:rsidR="00F603E2" w:rsidRPr="00001C01">
        <w:t>run operations</w:t>
      </w:r>
      <w:r w:rsidR="000F3F04" w:rsidRPr="00001C01">
        <w:t xml:space="preserve"> </w:t>
      </w:r>
      <w:r w:rsidRPr="00001C01">
        <w:t>on the Properties</w:t>
      </w:r>
      <w:r w:rsidRPr="005B6F2A">
        <w:t>;</w:t>
      </w:r>
    </w:p>
    <w:p w14:paraId="265914E4" w14:textId="77777777" w:rsidR="0004052C" w:rsidRPr="005B6F2A" w:rsidRDefault="0004052C" w:rsidP="0004052C">
      <w:pPr>
        <w:pStyle w:val="BodyText5"/>
      </w:pPr>
      <w:r w:rsidRPr="005B6F2A">
        <w:t>WHEREAS, the Parties desire to enter into this Agreement whereby</w:t>
      </w:r>
      <w:r w:rsidR="0006645E" w:rsidRPr="005B6F2A">
        <w:t xml:space="preserve"> the County will continue to contract with non-profit entities to manage the Properties and run operations on the Properties</w:t>
      </w:r>
      <w:r w:rsidR="00A82D9D" w:rsidRPr="005B6F2A">
        <w:t xml:space="preserve"> to preserve the use and historical nature of the Properties;</w:t>
      </w:r>
    </w:p>
    <w:p w14:paraId="428333B0" w14:textId="77777777" w:rsidR="00897792" w:rsidRPr="005B6F2A" w:rsidRDefault="00897792" w:rsidP="0004052C">
      <w:pPr>
        <w:pStyle w:val="BodyText5"/>
      </w:pPr>
      <w:r w:rsidRPr="005B6F2A">
        <w:t>WHEREAS, pursuant to the provisions of the Interlocal Cooperation Act (the “Interlocal Cooperation Act”), Title 11, Chapter 13, Utah Code (the “Utah Code”), public agencies, as defined in the Interlocal Cooperation Act, are authorized to enter into contracts and agreements with one another in order to make the most efficient use of their powers by enabling them to cooperate with each other on a basis of mutual advantage and to provide the benefit of economies of scale for the overall promotion of the general welfare of the State of Utah; and</w:t>
      </w:r>
    </w:p>
    <w:p w14:paraId="3E62BE01" w14:textId="77777777" w:rsidR="00897792" w:rsidRPr="005B6F2A" w:rsidRDefault="00897792" w:rsidP="00897792">
      <w:pPr>
        <w:pStyle w:val="BodyText5"/>
      </w:pPr>
      <w:r w:rsidRPr="005B6F2A">
        <w:t xml:space="preserve">WHEREAS, the Parties recognize and hereby find that the Parties will receive many benefits from </w:t>
      </w:r>
      <w:r w:rsidR="0098507B" w:rsidRPr="005B6F2A">
        <w:t>this arrangement</w:t>
      </w:r>
      <w:r w:rsidRPr="005B6F2A">
        <w:t xml:space="preserve"> including, but not limited to, </w:t>
      </w:r>
      <w:r w:rsidR="0006645E" w:rsidRPr="005B6F2A">
        <w:t>protection and preservation of historical</w:t>
      </w:r>
      <w:r w:rsidR="00A22A7D" w:rsidRPr="005B6F2A">
        <w:t xml:space="preserve"> buildings, ruins, replicas, trails, and artifacts.</w:t>
      </w:r>
    </w:p>
    <w:p w14:paraId="6D2008BF" w14:textId="77777777" w:rsidR="00BD3111" w:rsidRPr="005B6F2A" w:rsidRDefault="00BD3111" w:rsidP="00BD3111">
      <w:pPr>
        <w:pStyle w:val="BodyText5"/>
        <w:ind w:firstLine="0"/>
        <w:jc w:val="center"/>
      </w:pPr>
      <w:r w:rsidRPr="005B6F2A">
        <w:rPr>
          <w:b/>
        </w:rPr>
        <w:t>AGREEMENT</w:t>
      </w:r>
    </w:p>
    <w:p w14:paraId="00FC862B" w14:textId="77777777" w:rsidR="00BD3111" w:rsidRDefault="00BD3111" w:rsidP="00A82D9D">
      <w:pPr>
        <w:pStyle w:val="BodyText5"/>
      </w:pPr>
      <w:r w:rsidRPr="005B6F2A">
        <w:t>NOW, THEREFORE, in consideration of the mutual promises, the covenants contained herein, and pursuant to the Interlocal Cooperation Act, the Parties agree as follows:</w:t>
      </w:r>
    </w:p>
    <w:p w14:paraId="72B3DFFB" w14:textId="77777777" w:rsidR="00A44C57" w:rsidRDefault="00A44C57" w:rsidP="00A82D9D">
      <w:pPr>
        <w:pStyle w:val="BodyText5"/>
      </w:pPr>
    </w:p>
    <w:p w14:paraId="79A4A182" w14:textId="77777777" w:rsidR="00A44C57" w:rsidRPr="005B6F2A" w:rsidRDefault="00A44C57" w:rsidP="00760919">
      <w:pPr>
        <w:pStyle w:val="BodyText5"/>
        <w:ind w:firstLine="0"/>
      </w:pPr>
    </w:p>
    <w:p w14:paraId="3BD4F13D" w14:textId="77777777" w:rsidR="009B66B0" w:rsidRPr="005B6F2A" w:rsidRDefault="009B66B0" w:rsidP="009B66B0">
      <w:pPr>
        <w:pStyle w:val="BodyText5"/>
        <w:ind w:firstLine="0"/>
        <w:jc w:val="center"/>
      </w:pPr>
      <w:r w:rsidRPr="005B6F2A">
        <w:rPr>
          <w:u w:val="single"/>
        </w:rPr>
        <w:t>SPECIFIC TERMS</w:t>
      </w:r>
    </w:p>
    <w:p w14:paraId="7337721F" w14:textId="77777777" w:rsidR="00A22A7D" w:rsidRPr="005B6F2A" w:rsidRDefault="009B66B0" w:rsidP="00794125">
      <w:pPr>
        <w:ind w:firstLine="720"/>
        <w:jc w:val="both"/>
      </w:pPr>
      <w:r w:rsidRPr="005B6F2A">
        <w:rPr>
          <w:u w:val="single"/>
        </w:rPr>
        <w:t>Section 1.</w:t>
      </w:r>
      <w:r w:rsidRPr="005B6F2A">
        <w:t xml:space="preserve">  </w:t>
      </w:r>
      <w:r w:rsidR="00A22A7D" w:rsidRPr="005B6F2A">
        <w:rPr>
          <w:u w:val="single"/>
        </w:rPr>
        <w:t>Purpose.</w:t>
      </w:r>
      <w:r w:rsidR="00A22A7D" w:rsidRPr="005B6F2A">
        <w:t xml:space="preserve"> To provide and protect publicly owned areas of historical significance within the Town of Leeds where the public may appreciate the historical role the </w:t>
      </w:r>
      <w:r w:rsidR="00EA3B0C">
        <w:t>Properties</w:t>
      </w:r>
      <w:r w:rsidR="00A22A7D" w:rsidRPr="005B6F2A">
        <w:t xml:space="preserve"> played and increase their knowledge.</w:t>
      </w:r>
    </w:p>
    <w:p w14:paraId="3121FB9C" w14:textId="77777777" w:rsidR="009B66B0" w:rsidRPr="005B6F2A" w:rsidRDefault="00A22A7D" w:rsidP="00794125">
      <w:pPr>
        <w:ind w:firstLine="720"/>
        <w:jc w:val="both"/>
      </w:pPr>
      <w:r w:rsidRPr="005B6F2A">
        <w:t xml:space="preserve"> </w:t>
      </w:r>
      <w:r w:rsidR="009B66B0" w:rsidRPr="005B6F2A">
        <w:t xml:space="preserve">  </w:t>
      </w:r>
    </w:p>
    <w:p w14:paraId="7FBE5C52" w14:textId="712B93FC" w:rsidR="00A22A7D" w:rsidRDefault="0004052C" w:rsidP="00481EA4">
      <w:pPr>
        <w:ind w:firstLine="720"/>
        <w:jc w:val="both"/>
      </w:pPr>
      <w:r w:rsidRPr="005B6F2A">
        <w:rPr>
          <w:u w:val="single"/>
        </w:rPr>
        <w:t>Section 2.</w:t>
      </w:r>
      <w:r w:rsidRPr="005B6F2A">
        <w:t xml:space="preserve"> </w:t>
      </w:r>
      <w:r w:rsidR="00A22A7D" w:rsidRPr="005B6F2A">
        <w:rPr>
          <w:u w:val="single"/>
        </w:rPr>
        <w:t>Protected and Permitted Uses</w:t>
      </w:r>
      <w:r w:rsidRPr="005B6F2A">
        <w:rPr>
          <w:u w:val="single"/>
        </w:rPr>
        <w:t>.</w:t>
      </w:r>
      <w:r w:rsidR="00A22A7D" w:rsidRPr="005B6F2A">
        <w:t xml:space="preserve"> </w:t>
      </w:r>
      <w:r w:rsidR="003371A3">
        <w:rPr>
          <w:color w:val="FF0000"/>
        </w:rPr>
        <w:t xml:space="preserve"> </w:t>
      </w:r>
      <w:r w:rsidR="007F50B9">
        <w:t>Maintain and erect i</w:t>
      </w:r>
      <w:r w:rsidR="00A22A7D" w:rsidRPr="005B6F2A">
        <w:t>ntact historical building</w:t>
      </w:r>
      <w:r w:rsidR="00EF0105">
        <w:t>s</w:t>
      </w:r>
      <w:r w:rsidR="00A22A7D" w:rsidRPr="005B6F2A">
        <w:t>, historical ruins, replicas and reconstruction</w:t>
      </w:r>
      <w:r w:rsidR="00EF0105">
        <w:t>s</w:t>
      </w:r>
      <w:r w:rsidR="00A22A7D" w:rsidRPr="005B6F2A">
        <w:t xml:space="preserve"> of historical buildings, walking trails, and artifacts displayed on Property grounds.</w:t>
      </w:r>
      <w:r w:rsidR="00EA3B0C">
        <w:t xml:space="preserve"> Make</w:t>
      </w:r>
      <w:r w:rsidR="00EA3B0C" w:rsidRPr="00EA3B0C">
        <w:t xml:space="preserve"> </w:t>
      </w:r>
      <w:r w:rsidR="00C22923">
        <w:t>n</w:t>
      </w:r>
      <w:r w:rsidR="00EA3B0C" w:rsidRPr="00A413F9">
        <w:t xml:space="preserve">ecessary improvements, repairs, and minor alterations </w:t>
      </w:r>
      <w:r w:rsidR="00EA3B0C">
        <w:t>to promote and preserve the historical nature of the Properties</w:t>
      </w:r>
    </w:p>
    <w:p w14:paraId="44E8AF06" w14:textId="77777777" w:rsidR="00481EA4" w:rsidRPr="00E740D3" w:rsidRDefault="00481EA4" w:rsidP="00481EA4">
      <w:pPr>
        <w:ind w:firstLine="720"/>
        <w:jc w:val="both"/>
      </w:pPr>
    </w:p>
    <w:p w14:paraId="2D8F4F20" w14:textId="020705FA" w:rsidR="00A22A7D" w:rsidRPr="005B6F2A" w:rsidRDefault="00A22A7D">
      <w:pPr>
        <w:pStyle w:val="BodyText5"/>
      </w:pPr>
      <w:r w:rsidRPr="005B6F2A">
        <w:rPr>
          <w:u w:val="single"/>
        </w:rPr>
        <w:t>Section 3.</w:t>
      </w:r>
      <w:r w:rsidRPr="005B6F2A">
        <w:t xml:space="preserve"> </w:t>
      </w:r>
      <w:r w:rsidRPr="005B6F2A">
        <w:rPr>
          <w:u w:val="single"/>
        </w:rPr>
        <w:t>Permitted Activities.</w:t>
      </w:r>
      <w:r w:rsidRPr="005B6F2A">
        <w:t xml:space="preserve"> Operation of museum and gift shop; educational lectures, programs, workshops, and exhibits; historical and information plaques; meeting facilities for nonprofit or other orga</w:t>
      </w:r>
      <w:r w:rsidR="00A82D9D" w:rsidRPr="005B6F2A">
        <w:t>nizations or groups; other activities consistent with the historical value of the Properties.</w:t>
      </w:r>
    </w:p>
    <w:p w14:paraId="6DDB3F36" w14:textId="77777777" w:rsidR="00A22A7D" w:rsidRPr="00E740D3" w:rsidRDefault="00A22A7D">
      <w:pPr>
        <w:pStyle w:val="BodyText5"/>
        <w:rPr>
          <w:bCs/>
        </w:rPr>
      </w:pPr>
      <w:r w:rsidRPr="005B6F2A">
        <w:rPr>
          <w:u w:val="single"/>
        </w:rPr>
        <w:t>Section 4.</w:t>
      </w:r>
      <w:r w:rsidRPr="005B6F2A">
        <w:t xml:space="preserve"> </w:t>
      </w:r>
      <w:r w:rsidRPr="005B6F2A">
        <w:rPr>
          <w:u w:val="single"/>
        </w:rPr>
        <w:t>Operating Entities.</w:t>
      </w:r>
      <w:r w:rsidRPr="005B6F2A">
        <w:t xml:space="preserve"> </w:t>
      </w:r>
      <w:r w:rsidRPr="005B6F2A">
        <w:rPr>
          <w:bCs/>
        </w:rPr>
        <w:t>Entities operating on Properties must be either the County</w:t>
      </w:r>
      <w:r w:rsidR="00EA3B0C">
        <w:rPr>
          <w:bCs/>
        </w:rPr>
        <w:t>,</w:t>
      </w:r>
      <w:r w:rsidRPr="00E740D3">
        <w:rPr>
          <w:bCs/>
        </w:rPr>
        <w:t xml:space="preserve"> a 501(c)(3) </w:t>
      </w:r>
      <w:r w:rsidRPr="005B6F2A">
        <w:rPr>
          <w:bCs/>
        </w:rPr>
        <w:t>organization</w:t>
      </w:r>
      <w:r w:rsidR="00EA3B0C">
        <w:rPr>
          <w:bCs/>
        </w:rPr>
        <w:t>,</w:t>
      </w:r>
      <w:r w:rsidRPr="00E740D3">
        <w:rPr>
          <w:bCs/>
        </w:rPr>
        <w:t xml:space="preserve"> or other not-for profit </w:t>
      </w:r>
      <w:r w:rsidR="00EA3B0C">
        <w:rPr>
          <w:bCs/>
        </w:rPr>
        <w:t xml:space="preserve">organization </w:t>
      </w:r>
      <w:r w:rsidRPr="00E740D3">
        <w:rPr>
          <w:bCs/>
        </w:rPr>
        <w:t>approved by the County.</w:t>
      </w:r>
    </w:p>
    <w:p w14:paraId="0F14EA7D" w14:textId="77777777" w:rsidR="00A82D9D" w:rsidRPr="005B6F2A" w:rsidRDefault="00A22A7D" w:rsidP="00794125">
      <w:pPr>
        <w:ind w:firstLine="720"/>
        <w:jc w:val="both"/>
        <w:rPr>
          <w:bCs/>
        </w:rPr>
      </w:pPr>
      <w:r w:rsidRPr="005B6F2A">
        <w:rPr>
          <w:bCs/>
          <w:u w:val="single"/>
        </w:rPr>
        <w:t>Section 5.</w:t>
      </w:r>
      <w:r w:rsidRPr="005B6F2A">
        <w:rPr>
          <w:bCs/>
        </w:rPr>
        <w:t xml:space="preserve"> </w:t>
      </w:r>
      <w:r w:rsidR="007568CD" w:rsidRPr="005B6F2A">
        <w:rPr>
          <w:bCs/>
          <w:u w:val="single"/>
        </w:rPr>
        <w:t>Operating Hours.</w:t>
      </w:r>
      <w:r w:rsidR="007568CD" w:rsidRPr="005B6F2A">
        <w:rPr>
          <w:bCs/>
        </w:rPr>
        <w:t xml:space="preserve"> Except for self-guided outdoor activities</w:t>
      </w:r>
      <w:r w:rsidR="00EA3B0C">
        <w:rPr>
          <w:bCs/>
        </w:rPr>
        <w:t xml:space="preserve"> or special events listed in Section 6 of this Agreement</w:t>
      </w:r>
      <w:r w:rsidR="007568CD" w:rsidRPr="00E740D3">
        <w:rPr>
          <w:bCs/>
        </w:rPr>
        <w:t>, standard operating hours shall not begin prior to 8am</w:t>
      </w:r>
      <w:r w:rsidR="007568CD" w:rsidRPr="005B6F2A">
        <w:rPr>
          <w:bCs/>
        </w:rPr>
        <w:t xml:space="preserve"> nor extend past 6pm.  </w:t>
      </w:r>
    </w:p>
    <w:p w14:paraId="3074783B" w14:textId="77777777" w:rsidR="00A82D9D" w:rsidRPr="005B6F2A" w:rsidRDefault="00A82D9D" w:rsidP="00794125">
      <w:pPr>
        <w:ind w:firstLine="720"/>
        <w:jc w:val="both"/>
        <w:rPr>
          <w:bCs/>
        </w:rPr>
      </w:pPr>
    </w:p>
    <w:p w14:paraId="7F353976" w14:textId="6F6B7633" w:rsidR="00A82D9D" w:rsidRPr="005B6F2A" w:rsidRDefault="007568CD" w:rsidP="00794125">
      <w:pPr>
        <w:ind w:firstLine="720"/>
        <w:jc w:val="both"/>
      </w:pPr>
      <w:r w:rsidRPr="005B6F2A">
        <w:rPr>
          <w:u w:val="single"/>
        </w:rPr>
        <w:t xml:space="preserve">Section 6. </w:t>
      </w:r>
      <w:r w:rsidRPr="005B6F2A">
        <w:t xml:space="preserve"> </w:t>
      </w:r>
      <w:r w:rsidRPr="005B6F2A">
        <w:rPr>
          <w:u w:val="single"/>
        </w:rPr>
        <w:t>Special Events</w:t>
      </w:r>
      <w:r w:rsidR="009A52D3" w:rsidRPr="005B6F2A">
        <w:rPr>
          <w:u w:val="single"/>
        </w:rPr>
        <w:t>, Outdoor Events, and Night Events</w:t>
      </w:r>
      <w:r w:rsidRPr="005B6F2A">
        <w:rPr>
          <w:u w:val="single"/>
        </w:rPr>
        <w:t>.</w:t>
      </w:r>
      <w:r w:rsidRPr="005B6F2A">
        <w:t xml:space="preserve"> Special</w:t>
      </w:r>
      <w:r w:rsidR="009A52D3" w:rsidRPr="005B6F2A">
        <w:t>, outdoor, and night</w:t>
      </w:r>
      <w:r w:rsidRPr="005B6F2A">
        <w:t xml:space="preserve"> </w:t>
      </w:r>
      <w:r w:rsidR="009A52D3" w:rsidRPr="005B6F2A">
        <w:t>e</w:t>
      </w:r>
      <w:r w:rsidRPr="005B6F2A">
        <w:t xml:space="preserve">vents are </w:t>
      </w:r>
      <w:r w:rsidR="009A52D3" w:rsidRPr="005B6F2A">
        <w:t>permitted</w:t>
      </w:r>
      <w:r w:rsidRPr="005B6F2A">
        <w:t xml:space="preserve"> upon notification of Town Staff</w:t>
      </w:r>
      <w:r w:rsidR="009A52D3" w:rsidRPr="005B6F2A">
        <w:t xml:space="preserve"> at least 7 days prior to the event</w:t>
      </w:r>
      <w:r w:rsidRPr="005B6F2A">
        <w:t>. Special Events shall not begin prior to 8am no</w:t>
      </w:r>
      <w:r w:rsidR="00EA3B0C">
        <w:t>r</w:t>
      </w:r>
      <w:r w:rsidRPr="00E740D3">
        <w:t xml:space="preserve"> extend pas</w:t>
      </w:r>
      <w:r w:rsidR="009A52D3" w:rsidRPr="00E740D3">
        <w:t>t</w:t>
      </w:r>
      <w:r w:rsidRPr="00E740D3">
        <w:t xml:space="preserve"> 10pm.</w:t>
      </w:r>
    </w:p>
    <w:p w14:paraId="37EA4F64" w14:textId="77777777" w:rsidR="00A82D9D" w:rsidRPr="005B6F2A" w:rsidRDefault="00A82D9D" w:rsidP="00A82D9D">
      <w:pPr>
        <w:ind w:firstLine="720"/>
      </w:pPr>
    </w:p>
    <w:p w14:paraId="32F47BFB" w14:textId="77777777" w:rsidR="009A52D3" w:rsidRPr="005B6F2A" w:rsidRDefault="007568CD" w:rsidP="00A82D9D">
      <w:pPr>
        <w:ind w:firstLine="720"/>
        <w:rPr>
          <w:bCs/>
        </w:rPr>
      </w:pPr>
      <w:r w:rsidRPr="005B6F2A">
        <w:rPr>
          <w:u w:val="single"/>
        </w:rPr>
        <w:t>Section 7.</w:t>
      </w:r>
      <w:r w:rsidRPr="005B6F2A">
        <w:t xml:space="preserve"> </w:t>
      </w:r>
      <w:r w:rsidR="009A52D3" w:rsidRPr="005B6F2A">
        <w:rPr>
          <w:u w:val="single"/>
        </w:rPr>
        <w:t>Development Standards</w:t>
      </w:r>
      <w:r w:rsidRPr="005B6F2A">
        <w:rPr>
          <w:u w:val="single"/>
        </w:rPr>
        <w:t>.</w:t>
      </w:r>
      <w:r w:rsidR="009A52D3" w:rsidRPr="005B6F2A">
        <w:t xml:space="preserve"> </w:t>
      </w:r>
    </w:p>
    <w:p w14:paraId="68451F0D" w14:textId="77777777" w:rsidR="00A82D9D" w:rsidRPr="005B6F2A" w:rsidRDefault="00A82D9D" w:rsidP="00A82D9D">
      <w:pPr>
        <w:pStyle w:val="BodyText5"/>
        <w:spacing w:after="0"/>
      </w:pPr>
    </w:p>
    <w:p w14:paraId="3EC531E1" w14:textId="77777777" w:rsidR="0000572B" w:rsidRPr="005B6F2A" w:rsidRDefault="009A52D3" w:rsidP="00794125">
      <w:pPr>
        <w:pStyle w:val="BodyText5"/>
        <w:ind w:left="720" w:firstLine="0"/>
      </w:pPr>
      <w:r w:rsidRPr="005B6F2A">
        <w:t xml:space="preserve">7a. </w:t>
      </w:r>
      <w:r w:rsidR="0000572B" w:rsidRPr="005B6F2A">
        <w:t xml:space="preserve">BUILDING HEIGHT STANDARDS. </w:t>
      </w:r>
    </w:p>
    <w:p w14:paraId="2E175DC1" w14:textId="77777777" w:rsidR="007568CD" w:rsidRPr="005B6F2A" w:rsidRDefault="009A52D3" w:rsidP="00794125">
      <w:pPr>
        <w:pStyle w:val="BodyText5"/>
        <w:ind w:left="1440" w:firstLine="0"/>
      </w:pPr>
      <w:r w:rsidRPr="005B6F2A">
        <w:t>No building or structure shall be erected to a height greater than thirty-five feet.</w:t>
      </w:r>
    </w:p>
    <w:p w14:paraId="517486DC" w14:textId="77777777" w:rsidR="009A52D3" w:rsidRPr="005B6F2A" w:rsidRDefault="009A52D3" w:rsidP="009A52D3">
      <w:pPr>
        <w:ind w:left="1560" w:hanging="840"/>
      </w:pPr>
      <w:r w:rsidRPr="005B6F2A">
        <w:t>Minimum area, width, and yard setback regulations.</w:t>
      </w:r>
    </w:p>
    <w:p w14:paraId="7E668647" w14:textId="77777777" w:rsidR="009A52D3" w:rsidRPr="005B6F2A" w:rsidRDefault="009A52D3" w:rsidP="009A52D3">
      <w:pPr>
        <w:ind w:left="1560" w:hanging="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385"/>
        <w:gridCol w:w="1424"/>
        <w:gridCol w:w="1470"/>
        <w:gridCol w:w="1443"/>
        <w:gridCol w:w="1451"/>
      </w:tblGrid>
      <w:tr w:rsidR="009A52D3" w:rsidRPr="005B6F2A" w14:paraId="2F464683" w14:textId="77777777" w:rsidTr="00DB5024">
        <w:trPr>
          <w:tblHeader/>
        </w:trPr>
        <w:tc>
          <w:tcPr>
            <w:tcW w:w="1668" w:type="dxa"/>
            <w:shd w:val="clear" w:color="auto" w:fill="auto"/>
          </w:tcPr>
          <w:p w14:paraId="3E3A4243" w14:textId="77777777" w:rsidR="009A52D3" w:rsidRPr="005F4063" w:rsidRDefault="009A52D3" w:rsidP="00DB5024">
            <w:pPr>
              <w:jc w:val="center"/>
            </w:pPr>
            <w:r w:rsidRPr="005F4063">
              <w:t>District</w:t>
            </w:r>
          </w:p>
        </w:tc>
        <w:tc>
          <w:tcPr>
            <w:tcW w:w="1668" w:type="dxa"/>
            <w:shd w:val="clear" w:color="auto" w:fill="auto"/>
          </w:tcPr>
          <w:p w14:paraId="5C0CD08A" w14:textId="77777777" w:rsidR="009A52D3" w:rsidRPr="005F4063" w:rsidRDefault="009A52D3" w:rsidP="00DB5024">
            <w:pPr>
              <w:jc w:val="center"/>
            </w:pPr>
            <w:r w:rsidRPr="005F4063">
              <w:t>Area</w:t>
            </w:r>
          </w:p>
        </w:tc>
        <w:tc>
          <w:tcPr>
            <w:tcW w:w="1668" w:type="dxa"/>
            <w:shd w:val="clear" w:color="auto" w:fill="auto"/>
          </w:tcPr>
          <w:p w14:paraId="72A933EB" w14:textId="77777777" w:rsidR="009A52D3" w:rsidRPr="005F4063" w:rsidRDefault="009A52D3" w:rsidP="00DB5024">
            <w:pPr>
              <w:jc w:val="center"/>
            </w:pPr>
            <w:r w:rsidRPr="005F4063">
              <w:t>Width</w:t>
            </w:r>
          </w:p>
        </w:tc>
        <w:tc>
          <w:tcPr>
            <w:tcW w:w="1668" w:type="dxa"/>
            <w:shd w:val="clear" w:color="auto" w:fill="auto"/>
          </w:tcPr>
          <w:p w14:paraId="6039ACE4" w14:textId="77777777" w:rsidR="009A52D3" w:rsidRPr="005F4063" w:rsidRDefault="009A52D3" w:rsidP="00DB5024">
            <w:pPr>
              <w:jc w:val="center"/>
            </w:pPr>
            <w:r w:rsidRPr="005F4063">
              <w:t>Front**</w:t>
            </w:r>
          </w:p>
        </w:tc>
        <w:tc>
          <w:tcPr>
            <w:tcW w:w="1668" w:type="dxa"/>
            <w:shd w:val="clear" w:color="auto" w:fill="auto"/>
          </w:tcPr>
          <w:p w14:paraId="1FAA7DAC" w14:textId="77777777" w:rsidR="009A52D3" w:rsidRPr="005F4063" w:rsidRDefault="009A52D3" w:rsidP="00DB5024">
            <w:pPr>
              <w:jc w:val="center"/>
            </w:pPr>
            <w:r w:rsidRPr="005F4063">
              <w:t>Side**</w:t>
            </w:r>
          </w:p>
        </w:tc>
        <w:tc>
          <w:tcPr>
            <w:tcW w:w="1668" w:type="dxa"/>
            <w:shd w:val="clear" w:color="auto" w:fill="auto"/>
          </w:tcPr>
          <w:p w14:paraId="6AA3F6F7" w14:textId="77777777" w:rsidR="009A52D3" w:rsidRPr="005F4063" w:rsidRDefault="009A52D3" w:rsidP="00DB5024">
            <w:pPr>
              <w:jc w:val="center"/>
            </w:pPr>
            <w:r w:rsidRPr="005F4063">
              <w:t>Rear**</w:t>
            </w:r>
          </w:p>
        </w:tc>
      </w:tr>
      <w:tr w:rsidR="009A52D3" w:rsidRPr="005B6F2A" w14:paraId="55E4C773" w14:textId="77777777" w:rsidTr="00DB5024">
        <w:tc>
          <w:tcPr>
            <w:tcW w:w="1668" w:type="dxa"/>
            <w:shd w:val="clear" w:color="auto" w:fill="auto"/>
          </w:tcPr>
          <w:p w14:paraId="360BCED5" w14:textId="77777777" w:rsidR="009A52D3" w:rsidRPr="005F4063" w:rsidRDefault="009A52D3" w:rsidP="00DB5024">
            <w:pPr>
              <w:jc w:val="center"/>
            </w:pPr>
            <w:r w:rsidRPr="005F4063">
              <w:t>HPP</w:t>
            </w:r>
          </w:p>
        </w:tc>
        <w:tc>
          <w:tcPr>
            <w:tcW w:w="1668" w:type="dxa"/>
            <w:shd w:val="clear" w:color="auto" w:fill="auto"/>
          </w:tcPr>
          <w:p w14:paraId="7E0A808A" w14:textId="77777777" w:rsidR="009A52D3" w:rsidRPr="005F4063" w:rsidRDefault="009A52D3" w:rsidP="00DB5024">
            <w:pPr>
              <w:jc w:val="center"/>
            </w:pPr>
            <w:r w:rsidRPr="005F4063">
              <w:t>*</w:t>
            </w:r>
          </w:p>
        </w:tc>
        <w:tc>
          <w:tcPr>
            <w:tcW w:w="1668" w:type="dxa"/>
            <w:shd w:val="clear" w:color="auto" w:fill="auto"/>
          </w:tcPr>
          <w:p w14:paraId="73F2330E" w14:textId="77777777" w:rsidR="009A52D3" w:rsidRPr="005F4063" w:rsidRDefault="009A52D3" w:rsidP="00DB5024">
            <w:pPr>
              <w:jc w:val="center"/>
            </w:pPr>
            <w:r w:rsidRPr="005F4063">
              <w:t>*</w:t>
            </w:r>
          </w:p>
        </w:tc>
        <w:tc>
          <w:tcPr>
            <w:tcW w:w="1668" w:type="dxa"/>
            <w:shd w:val="clear" w:color="auto" w:fill="auto"/>
          </w:tcPr>
          <w:p w14:paraId="2D9D82EB" w14:textId="77777777" w:rsidR="009A52D3" w:rsidRPr="005F4063" w:rsidRDefault="009A52D3" w:rsidP="00DB5024">
            <w:pPr>
              <w:jc w:val="center"/>
            </w:pPr>
            <w:r w:rsidRPr="005F4063">
              <w:t>25 feet</w:t>
            </w:r>
          </w:p>
        </w:tc>
        <w:tc>
          <w:tcPr>
            <w:tcW w:w="1668" w:type="dxa"/>
            <w:shd w:val="clear" w:color="auto" w:fill="auto"/>
          </w:tcPr>
          <w:p w14:paraId="0EB43B54" w14:textId="77777777" w:rsidR="009A52D3" w:rsidRPr="005F4063" w:rsidRDefault="009A52D3" w:rsidP="00DB5024">
            <w:pPr>
              <w:jc w:val="center"/>
            </w:pPr>
            <w:r w:rsidRPr="005F4063">
              <w:t>10 feet</w:t>
            </w:r>
          </w:p>
        </w:tc>
        <w:tc>
          <w:tcPr>
            <w:tcW w:w="1668" w:type="dxa"/>
            <w:shd w:val="clear" w:color="auto" w:fill="auto"/>
          </w:tcPr>
          <w:p w14:paraId="3354C3B5" w14:textId="77777777" w:rsidR="009A52D3" w:rsidRPr="005F4063" w:rsidRDefault="009A52D3" w:rsidP="00DB5024">
            <w:pPr>
              <w:jc w:val="center"/>
            </w:pPr>
            <w:r w:rsidRPr="005F4063">
              <w:t>10 feet</w:t>
            </w:r>
          </w:p>
        </w:tc>
      </w:tr>
    </w:tbl>
    <w:p w14:paraId="44C478AB" w14:textId="77777777" w:rsidR="009A52D3" w:rsidRPr="005F4063" w:rsidRDefault="009A52D3" w:rsidP="009A52D3"/>
    <w:p w14:paraId="4056158F" w14:textId="77777777" w:rsidR="009A52D3" w:rsidRPr="005B6F2A" w:rsidRDefault="009A52D3" w:rsidP="00794125">
      <w:pPr>
        <w:jc w:val="both"/>
      </w:pPr>
      <w:r w:rsidRPr="00E740D3">
        <w:t xml:space="preserve">* The area and width requirement varies depending on the </w:t>
      </w:r>
      <w:r w:rsidRPr="005B6F2A">
        <w:t>historic dimensions of the buildings.</w:t>
      </w:r>
    </w:p>
    <w:p w14:paraId="4185D5D5" w14:textId="77777777" w:rsidR="009A52D3" w:rsidRPr="005B6F2A" w:rsidRDefault="009A52D3" w:rsidP="00794125">
      <w:pPr>
        <w:jc w:val="both"/>
      </w:pPr>
      <w:r w:rsidRPr="005B6F2A">
        <w:t>** The front, side and rear setbacks do not apply to interior lot lines owned by the same public entity, nor to original historic buildings or ruins on the public property.</w:t>
      </w:r>
    </w:p>
    <w:p w14:paraId="46691FC6" w14:textId="77777777" w:rsidR="009A52D3" w:rsidRPr="005B6F2A" w:rsidRDefault="009A52D3" w:rsidP="0000572B">
      <w:pPr>
        <w:pStyle w:val="BodyText5"/>
        <w:rPr>
          <w:b/>
        </w:rPr>
      </w:pPr>
    </w:p>
    <w:p w14:paraId="49F4CF23" w14:textId="77777777" w:rsidR="009A52D3" w:rsidRPr="005B6F2A" w:rsidRDefault="009A52D3" w:rsidP="00794125">
      <w:pPr>
        <w:ind w:left="720"/>
        <w:jc w:val="both"/>
      </w:pPr>
      <w:r w:rsidRPr="005B6F2A">
        <w:t>7b.</w:t>
      </w:r>
      <w:bookmarkStart w:id="0" w:name="_Toc141526565"/>
      <w:r w:rsidRPr="005B6F2A">
        <w:rPr>
          <w:b/>
        </w:rPr>
        <w:tab/>
      </w:r>
      <w:r w:rsidRPr="005B6F2A">
        <w:t>SIGNS</w:t>
      </w:r>
      <w:bookmarkEnd w:id="0"/>
      <w:r w:rsidRPr="005B6F2A">
        <w:t>.</w:t>
      </w:r>
    </w:p>
    <w:p w14:paraId="4FBB543F" w14:textId="77777777" w:rsidR="009A52D3" w:rsidRPr="005B6F2A" w:rsidRDefault="009A52D3" w:rsidP="00794125">
      <w:pPr>
        <w:jc w:val="both"/>
      </w:pPr>
      <w:r w:rsidRPr="005B6F2A">
        <w:tab/>
      </w:r>
    </w:p>
    <w:p w14:paraId="609BC941" w14:textId="6DA0F559" w:rsidR="00CA2FF8" w:rsidRPr="005B6F2A" w:rsidRDefault="00CA2FF8" w:rsidP="00E740D3">
      <w:pPr>
        <w:ind w:left="1440"/>
        <w:jc w:val="both"/>
      </w:pPr>
      <w:r w:rsidRPr="005B6F2A">
        <w:t>All signs, by design, shall preserve and promote the historical nature of the Properties. Proper signage shall be in the form of Plaques</w:t>
      </w:r>
      <w:r w:rsidR="00001C01" w:rsidRPr="00001C01">
        <w:t xml:space="preserve">, </w:t>
      </w:r>
      <w:r w:rsidR="00586F85" w:rsidRPr="00001C01">
        <w:t>metal</w:t>
      </w:r>
      <w:r w:rsidR="00F4309B" w:rsidRPr="00001C01">
        <w:t xml:space="preserve"> or Wooden Signs</w:t>
      </w:r>
      <w:r w:rsidRPr="00001C01">
        <w:t>. Plaques shall be no more than six (6) square feet in total area and shall be fastened directly to a building or a pedestal built specifically to display the plaque.  The purpose of the plaque</w:t>
      </w:r>
      <w:r w:rsidR="00F4309B" w:rsidRPr="00001C01">
        <w:t xml:space="preserve">s </w:t>
      </w:r>
      <w:r w:rsidRPr="00001C01">
        <w:t>shall be to commemorate a historical event or time frame, location or personal</w:t>
      </w:r>
      <w:r w:rsidR="00F4309B" w:rsidRPr="00001C01">
        <w:t>it</w:t>
      </w:r>
      <w:r w:rsidR="00EA3B0C" w:rsidRPr="00001C01">
        <w:t>y, or be of cultural</w:t>
      </w:r>
      <w:r w:rsidR="00586F85" w:rsidRPr="00001C01">
        <w:t xml:space="preserve"> or historical</w:t>
      </w:r>
      <w:r w:rsidR="00EA3B0C" w:rsidRPr="00001C01">
        <w:t xml:space="preserve"> interest</w:t>
      </w:r>
      <w:r w:rsidRPr="00001C01">
        <w:t xml:space="preserve">. If the plaque is mounted on a pedestal built for mounting the plaque the pedestal shall not exceed six (6) square feet in width and depth </w:t>
      </w:r>
      <w:r w:rsidRPr="005B6F2A">
        <w:t>or more than five (5) feet in height.  The pedestal</w:t>
      </w:r>
      <w:r w:rsidR="00E740D3">
        <w:t>s</w:t>
      </w:r>
      <w:r w:rsidRPr="005B6F2A">
        <w:t xml:space="preserve"> shall be located to not interfere with traffic or pedestrian traffic. </w:t>
      </w:r>
      <w:r w:rsidR="00F4309B" w:rsidRPr="005B6F2A">
        <w:t xml:space="preserve">The purpose of the Signs shall provide general information, such as but not limited to, directions and trailheads. </w:t>
      </w:r>
    </w:p>
    <w:p w14:paraId="5384B0AF" w14:textId="77777777" w:rsidR="009A52D3" w:rsidRPr="005B6F2A" w:rsidRDefault="009A52D3" w:rsidP="00794125">
      <w:pPr>
        <w:jc w:val="both"/>
      </w:pPr>
      <w:bookmarkStart w:id="1" w:name="_Toc82854455"/>
      <w:bookmarkStart w:id="2" w:name="_Toc83015897"/>
      <w:bookmarkStart w:id="3" w:name="_Toc83016188"/>
      <w:bookmarkStart w:id="4" w:name="_Toc83018904"/>
      <w:bookmarkStart w:id="5" w:name="_Toc83263205"/>
      <w:bookmarkStart w:id="6" w:name="_Toc83265957"/>
      <w:bookmarkStart w:id="7" w:name="_Toc83354348"/>
      <w:bookmarkStart w:id="8" w:name="_Toc83355299"/>
      <w:bookmarkStart w:id="9" w:name="_Toc83356133"/>
      <w:bookmarkStart w:id="10" w:name="_Toc83358356"/>
      <w:bookmarkStart w:id="11" w:name="_Toc92160090"/>
      <w:bookmarkStart w:id="12" w:name="_Toc141526566"/>
    </w:p>
    <w:p w14:paraId="247AFCE6" w14:textId="77777777" w:rsidR="009A52D3" w:rsidRPr="005B6F2A" w:rsidRDefault="009A52D3" w:rsidP="00794125">
      <w:pPr>
        <w:jc w:val="both"/>
      </w:pPr>
      <w:bookmarkStart w:id="13" w:name="_Toc141526567"/>
      <w:bookmarkEnd w:id="1"/>
      <w:bookmarkEnd w:id="2"/>
      <w:bookmarkEnd w:id="3"/>
      <w:bookmarkEnd w:id="4"/>
      <w:bookmarkEnd w:id="5"/>
      <w:bookmarkEnd w:id="6"/>
      <w:bookmarkEnd w:id="7"/>
      <w:bookmarkEnd w:id="8"/>
      <w:bookmarkEnd w:id="9"/>
      <w:bookmarkEnd w:id="10"/>
      <w:bookmarkEnd w:id="11"/>
      <w:bookmarkEnd w:id="12"/>
    </w:p>
    <w:p w14:paraId="1D44B66F" w14:textId="77777777" w:rsidR="009A52D3" w:rsidRPr="005B6F2A" w:rsidRDefault="009A52D3" w:rsidP="00794125">
      <w:pPr>
        <w:ind w:firstLine="720"/>
        <w:jc w:val="both"/>
      </w:pPr>
      <w:r w:rsidRPr="005B6F2A">
        <w:t xml:space="preserve">7c. </w:t>
      </w:r>
      <w:r w:rsidRPr="005B6F2A">
        <w:tab/>
        <w:t>LIGHTING</w:t>
      </w:r>
      <w:bookmarkEnd w:id="13"/>
      <w:r w:rsidRPr="005B6F2A">
        <w:t>.</w:t>
      </w:r>
    </w:p>
    <w:p w14:paraId="7017809C" w14:textId="77777777" w:rsidR="009A52D3" w:rsidRPr="005B6F2A" w:rsidRDefault="009A52D3" w:rsidP="00794125">
      <w:pPr>
        <w:jc w:val="both"/>
      </w:pPr>
    </w:p>
    <w:p w14:paraId="50ADDB07" w14:textId="77777777" w:rsidR="009A52D3" w:rsidRPr="005B6F2A" w:rsidRDefault="009A52D3" w:rsidP="00794125">
      <w:pPr>
        <w:ind w:left="1440"/>
        <w:jc w:val="both"/>
      </w:pPr>
      <w:r w:rsidRPr="005B6F2A">
        <w:t>All</w:t>
      </w:r>
      <w:r w:rsidR="00F4309B" w:rsidRPr="005B6F2A">
        <w:t xml:space="preserve"> lighting</w:t>
      </w:r>
      <w:r w:rsidRPr="005B6F2A">
        <w:t xml:space="preserve"> </w:t>
      </w:r>
      <w:r w:rsidR="00633542" w:rsidRPr="005B6F2A">
        <w:t>sh</w:t>
      </w:r>
      <w:r w:rsidR="00F4309B" w:rsidRPr="005B6F2A">
        <w:t>all preserve and promote the historical nature of the Properties.  The County shall maintain sufficient lighting to promote safety for patrons and the community on the Properties.</w:t>
      </w:r>
    </w:p>
    <w:p w14:paraId="38B88D36" w14:textId="77777777" w:rsidR="009A52D3" w:rsidRPr="005B6F2A" w:rsidRDefault="009A52D3" w:rsidP="00794125">
      <w:pPr>
        <w:jc w:val="both"/>
      </w:pPr>
      <w:bookmarkStart w:id="14" w:name="_Toc141526568"/>
      <w:bookmarkStart w:id="15" w:name="_Toc82854456"/>
      <w:bookmarkStart w:id="16" w:name="_Toc83015898"/>
      <w:bookmarkStart w:id="17" w:name="_Toc83016189"/>
      <w:bookmarkStart w:id="18" w:name="_Toc83018905"/>
      <w:bookmarkStart w:id="19" w:name="_Toc83263206"/>
      <w:bookmarkStart w:id="20" w:name="_Toc83265958"/>
      <w:bookmarkStart w:id="21" w:name="_Toc83354349"/>
      <w:bookmarkStart w:id="22" w:name="_Toc83355300"/>
      <w:bookmarkStart w:id="23" w:name="_Toc83356134"/>
      <w:bookmarkStart w:id="24" w:name="_Toc83358357"/>
      <w:bookmarkStart w:id="25" w:name="_Toc92160091"/>
    </w:p>
    <w:p w14:paraId="1B0E1926" w14:textId="77777777" w:rsidR="009A52D3" w:rsidRPr="005B6F2A" w:rsidRDefault="009A52D3" w:rsidP="00794125">
      <w:pPr>
        <w:ind w:left="720"/>
        <w:jc w:val="both"/>
      </w:pPr>
      <w:r w:rsidRPr="005B6F2A">
        <w:t>7d.</w:t>
      </w:r>
      <w:r w:rsidRPr="005B6F2A">
        <w:tab/>
        <w:t>PARKING</w:t>
      </w:r>
      <w:bookmarkEnd w:id="14"/>
      <w:r w:rsidRPr="005B6F2A">
        <w:t>.</w:t>
      </w:r>
    </w:p>
    <w:p w14:paraId="06E79A0E" w14:textId="77777777" w:rsidR="009A52D3" w:rsidRPr="00E738AA" w:rsidRDefault="009A52D3" w:rsidP="00794125">
      <w:pPr>
        <w:jc w:val="both"/>
        <w:rPr>
          <w:strike/>
        </w:rPr>
      </w:pPr>
    </w:p>
    <w:bookmarkEnd w:id="15"/>
    <w:bookmarkEnd w:id="16"/>
    <w:bookmarkEnd w:id="17"/>
    <w:bookmarkEnd w:id="18"/>
    <w:bookmarkEnd w:id="19"/>
    <w:bookmarkEnd w:id="20"/>
    <w:bookmarkEnd w:id="21"/>
    <w:bookmarkEnd w:id="22"/>
    <w:bookmarkEnd w:id="23"/>
    <w:bookmarkEnd w:id="24"/>
    <w:bookmarkEnd w:id="25"/>
    <w:p w14:paraId="7E0DB6FE" w14:textId="52F14780" w:rsidR="009A52D3" w:rsidRPr="00897042" w:rsidRDefault="00A42BB4" w:rsidP="00A42BB4">
      <w:pPr>
        <w:ind w:left="1440"/>
        <w:jc w:val="both"/>
      </w:pPr>
      <w:r w:rsidRPr="00001C01">
        <w:t>Exi</w:t>
      </w:r>
      <w:r w:rsidR="00586F85" w:rsidRPr="00001C01">
        <w:t>s</w:t>
      </w:r>
      <w:r w:rsidRPr="00001C01">
        <w:t xml:space="preserve">ting </w:t>
      </w:r>
      <w:r w:rsidR="00F4309B" w:rsidRPr="00001C01">
        <w:t xml:space="preserve">Parking shall </w:t>
      </w:r>
      <w:r w:rsidRPr="00001C01">
        <w:t xml:space="preserve">be </w:t>
      </w:r>
      <w:r w:rsidR="00E740D3" w:rsidRPr="00001C01">
        <w:t>available for use</w:t>
      </w:r>
      <w:r w:rsidR="00F4309B" w:rsidRPr="00001C01">
        <w:t xml:space="preserve"> to</w:t>
      </w:r>
      <w:r w:rsidR="00E740D3" w:rsidRPr="00001C01">
        <w:t xml:space="preserve"> the County,</w:t>
      </w:r>
      <w:r w:rsidRPr="00001C01">
        <w:t xml:space="preserve"> Silver Reef Museum staff</w:t>
      </w:r>
      <w:r w:rsidR="00E740D3" w:rsidRPr="00001C01">
        <w:t>,</w:t>
      </w:r>
      <w:r w:rsidRPr="00001C01">
        <w:t xml:space="preserve"> and volunteers at all times.</w:t>
      </w:r>
      <w:r w:rsidR="00D1729A" w:rsidRPr="00001C01">
        <w:t xml:space="preserve"> </w:t>
      </w:r>
      <w:r w:rsidRPr="00001C01">
        <w:t xml:space="preserve"> Exi</w:t>
      </w:r>
      <w:r w:rsidR="00586F85" w:rsidRPr="00001C01">
        <w:t>s</w:t>
      </w:r>
      <w:r w:rsidRPr="00001C01">
        <w:t>ting Parking shall be made available to public</w:t>
      </w:r>
      <w:r w:rsidR="00F4309B" w:rsidRPr="00001C01">
        <w:t xml:space="preserve"> </w:t>
      </w:r>
      <w:r w:rsidRPr="00001C01">
        <w:t>and Silver Reef Patrons</w:t>
      </w:r>
      <w:r w:rsidR="00E740D3" w:rsidRPr="00001C01">
        <w:t xml:space="preserve"> for the events listed in Section 6 of this Agreement and</w:t>
      </w:r>
      <w:r w:rsidRPr="00001C01">
        <w:t xml:space="preserve"> </w:t>
      </w:r>
      <w:r w:rsidR="00F4309B" w:rsidRPr="00001C01">
        <w:t>during</w:t>
      </w:r>
      <w:r w:rsidR="00E740D3" w:rsidRPr="00001C01">
        <w:t xml:space="preserve"> times in Section 5 of this Agreement</w:t>
      </w:r>
      <w:r w:rsidRPr="00001C01">
        <w:t>.</w:t>
      </w:r>
      <w:r w:rsidR="00F4309B" w:rsidRPr="00001C01">
        <w:t xml:space="preserve"> A</w:t>
      </w:r>
      <w:r w:rsidRPr="00001C01">
        <w:t xml:space="preserve">ll </w:t>
      </w:r>
      <w:r w:rsidR="00F4309B" w:rsidRPr="00001C01">
        <w:t>p</w:t>
      </w:r>
      <w:r w:rsidR="00E10642" w:rsidRPr="00001C01">
        <w:t xml:space="preserve">arking </w:t>
      </w:r>
      <w:r w:rsidR="00C9187E" w:rsidRPr="00001C01">
        <w:t>areas</w:t>
      </w:r>
      <w:r w:rsidR="00C9187E">
        <w:rPr>
          <w:color w:val="FF0000"/>
        </w:rPr>
        <w:t xml:space="preserve"> </w:t>
      </w:r>
      <w:r w:rsidR="00E10642" w:rsidRPr="00897042">
        <w:t>shall be maintained to preserve and promote the historical natur</w:t>
      </w:r>
      <w:r w:rsidR="00F4309B" w:rsidRPr="00897042">
        <w:t xml:space="preserve">e of the </w:t>
      </w:r>
      <w:r w:rsidR="00C22923" w:rsidRPr="00897042">
        <w:t>P</w:t>
      </w:r>
      <w:r w:rsidR="00F4309B" w:rsidRPr="00897042">
        <w:t xml:space="preserve">roperties. </w:t>
      </w:r>
      <w:r w:rsidR="004A6ED6" w:rsidRPr="00897042">
        <w:t>All p</w:t>
      </w:r>
      <w:r w:rsidR="00F4309B" w:rsidRPr="00897042">
        <w:t>arking areas</w:t>
      </w:r>
      <w:r w:rsidRPr="00897042">
        <w:t xml:space="preserve"> shall remain un</w:t>
      </w:r>
      <w:r w:rsidR="00F4309B" w:rsidRPr="00897042">
        <w:t>paved</w:t>
      </w:r>
      <w:r w:rsidR="004A6ED6" w:rsidRPr="00897042">
        <w:t xml:space="preserve"> unless property owner deems a paved surface</w:t>
      </w:r>
      <w:r w:rsidR="00C22923" w:rsidRPr="00897042">
        <w:t xml:space="preserve"> is</w:t>
      </w:r>
      <w:r w:rsidR="004A6ED6" w:rsidRPr="00897042">
        <w:t xml:space="preserve"> necessary. </w:t>
      </w:r>
    </w:p>
    <w:p w14:paraId="6F32190B" w14:textId="77777777" w:rsidR="009A52D3" w:rsidRPr="00E738AA" w:rsidRDefault="009A52D3" w:rsidP="00794125">
      <w:pPr>
        <w:ind w:left="720"/>
        <w:jc w:val="both"/>
      </w:pPr>
    </w:p>
    <w:p w14:paraId="6FF7B50D" w14:textId="780D2BDB" w:rsidR="009A52D3" w:rsidRPr="005B6F2A" w:rsidRDefault="00A1308E" w:rsidP="00794125">
      <w:pPr>
        <w:ind w:firstLine="720"/>
        <w:jc w:val="both"/>
      </w:pPr>
      <w:r w:rsidRPr="00E738AA">
        <w:rPr>
          <w:bCs/>
          <w:u w:val="single"/>
        </w:rPr>
        <w:t>Section 8.</w:t>
      </w:r>
      <w:r w:rsidRPr="00E738AA">
        <w:rPr>
          <w:bCs/>
        </w:rPr>
        <w:t xml:space="preserve"> </w:t>
      </w:r>
      <w:r w:rsidR="00E738AA" w:rsidRPr="00001C01">
        <w:rPr>
          <w:bCs/>
          <w:u w:val="single"/>
        </w:rPr>
        <w:t>Existing</w:t>
      </w:r>
      <w:r w:rsidR="00001C01">
        <w:rPr>
          <w:bCs/>
          <w:u w:val="single"/>
        </w:rPr>
        <w:t xml:space="preserve"> </w:t>
      </w:r>
      <w:r w:rsidRPr="00001C01">
        <w:rPr>
          <w:bCs/>
          <w:u w:val="single"/>
        </w:rPr>
        <w:t>Use</w:t>
      </w:r>
      <w:r w:rsidR="004F3088" w:rsidRPr="00001C01">
        <w:rPr>
          <w:bCs/>
          <w:u w:val="single"/>
        </w:rPr>
        <w:t>s</w:t>
      </w:r>
      <w:r w:rsidRPr="005B6F2A">
        <w:rPr>
          <w:bCs/>
          <w:u w:val="single"/>
        </w:rPr>
        <w:t>.</w:t>
      </w:r>
      <w:r w:rsidRPr="005B6F2A">
        <w:rPr>
          <w:bCs/>
        </w:rPr>
        <w:t xml:space="preserve"> </w:t>
      </w:r>
      <w:r w:rsidR="009A52D3" w:rsidRPr="005B6F2A">
        <w:t>The existing structures, ruins, artifacts</w:t>
      </w:r>
      <w:r w:rsidR="00A82D9D" w:rsidRPr="005B6F2A">
        <w:t>, uses,</w:t>
      </w:r>
      <w:r w:rsidR="009A52D3" w:rsidRPr="005B6F2A">
        <w:t xml:space="preserve"> and signage at the time of </w:t>
      </w:r>
      <w:r w:rsidRPr="005B6F2A">
        <w:t xml:space="preserve">Agreement </w:t>
      </w:r>
      <w:r w:rsidR="009A52D3" w:rsidRPr="005B6F2A">
        <w:t xml:space="preserve">are acceptable to the Town Council of the Town of Leeds and will be considered </w:t>
      </w:r>
      <w:r w:rsidR="0032442A" w:rsidRPr="00001C01">
        <w:t>lawful uses</w:t>
      </w:r>
      <w:r w:rsidR="0032442A" w:rsidRPr="0032442A">
        <w:rPr>
          <w:color w:val="FF0000"/>
        </w:rPr>
        <w:t xml:space="preserve"> </w:t>
      </w:r>
      <w:r w:rsidR="009A52D3" w:rsidRPr="005B6F2A">
        <w:t xml:space="preserve">if subsequently determined to be </w:t>
      </w:r>
      <w:r w:rsidRPr="005B6F2A">
        <w:t>inconsistent with</w:t>
      </w:r>
      <w:r w:rsidR="009A52D3" w:rsidRPr="005B6F2A">
        <w:t xml:space="preserve"> any ordinance of the Town of Leeds.</w:t>
      </w:r>
      <w:r w:rsidR="005B6F2A" w:rsidRPr="005B6F2A">
        <w:t xml:space="preserve"> </w:t>
      </w:r>
    </w:p>
    <w:p w14:paraId="0CE9AFE2" w14:textId="77777777" w:rsidR="009A52D3" w:rsidRPr="005B6F2A" w:rsidRDefault="009A52D3" w:rsidP="00A82D9D">
      <w:pPr>
        <w:pStyle w:val="BodyText5"/>
        <w:spacing w:after="0"/>
      </w:pPr>
    </w:p>
    <w:p w14:paraId="7C0D23D3" w14:textId="77777777" w:rsidR="009B66B0" w:rsidRPr="005B6F2A" w:rsidRDefault="009B66B0" w:rsidP="00A82D9D">
      <w:pPr>
        <w:pStyle w:val="BodyText5"/>
        <w:spacing w:after="0"/>
        <w:ind w:firstLine="0"/>
        <w:jc w:val="center"/>
        <w:rPr>
          <w:u w:val="single"/>
        </w:rPr>
      </w:pPr>
      <w:r w:rsidRPr="005B6F2A">
        <w:rPr>
          <w:u w:val="single"/>
        </w:rPr>
        <w:t>GENERAL TERMS</w:t>
      </w:r>
    </w:p>
    <w:p w14:paraId="1F2454BC" w14:textId="77777777" w:rsidR="00A82D9D" w:rsidRPr="005B6F2A" w:rsidRDefault="00A82D9D" w:rsidP="00794125">
      <w:pPr>
        <w:pStyle w:val="BodyText5"/>
        <w:spacing w:after="0"/>
        <w:ind w:firstLine="0"/>
        <w:rPr>
          <w:u w:val="single"/>
        </w:rPr>
      </w:pPr>
    </w:p>
    <w:p w14:paraId="4FD3662B" w14:textId="77777777" w:rsidR="00586F85" w:rsidRDefault="00897792" w:rsidP="00586F85">
      <w:pPr>
        <w:pStyle w:val="Heading1"/>
        <w:rPr>
          <w:rFonts w:cs="Times New Roman"/>
          <w:szCs w:val="24"/>
        </w:rPr>
      </w:pPr>
      <w:r w:rsidRPr="00C22923">
        <w:rPr>
          <w:rFonts w:cs="Times New Roman"/>
          <w:szCs w:val="24"/>
          <w:u w:val="single"/>
        </w:rPr>
        <w:t>Purpose.</w:t>
      </w:r>
      <w:r w:rsidRPr="00C22923">
        <w:rPr>
          <w:rFonts w:cs="Times New Roman"/>
          <w:szCs w:val="24"/>
        </w:rPr>
        <w:t xml:space="preserve">  The purpose of this Agreement is to allow the Parties to comply with State law to accomplish the intentions and purposes referred to in the recitals above.</w:t>
      </w:r>
    </w:p>
    <w:p w14:paraId="78FCE507" w14:textId="03DE7695" w:rsidR="00897792" w:rsidRPr="005F4063" w:rsidRDefault="00897792" w:rsidP="00B20CA2">
      <w:pPr>
        <w:pStyle w:val="Heading1"/>
        <w:rPr>
          <w:rFonts w:cs="Times New Roman"/>
          <w:szCs w:val="24"/>
        </w:rPr>
      </w:pPr>
      <w:r w:rsidRPr="00586F85">
        <w:rPr>
          <w:u w:val="single"/>
        </w:rPr>
        <w:t>Termination.</w:t>
      </w:r>
      <w:r w:rsidRPr="00EF0105">
        <w:t xml:space="preserve"> </w:t>
      </w:r>
      <w:r w:rsidRPr="00001C01">
        <w:t xml:space="preserve"> </w:t>
      </w:r>
      <w:r w:rsidR="003371A3" w:rsidRPr="00001C01">
        <w:t>Either</w:t>
      </w:r>
      <w:r w:rsidR="003371A3">
        <w:rPr>
          <w:color w:val="FF0000"/>
        </w:rPr>
        <w:t xml:space="preserve"> </w:t>
      </w:r>
      <w:r w:rsidRPr="00EF0105">
        <w:t>Party may, at its sole discretion, terminate this agreement at</w:t>
      </w:r>
      <w:r w:rsidR="00172F74" w:rsidRPr="00EF0105">
        <w:t xml:space="preserve"> any time and for any reason by</w:t>
      </w:r>
      <w:r w:rsidR="009A7EE5" w:rsidRPr="00EF0105">
        <w:t xml:space="preserve"> giving ninety (90) </w:t>
      </w:r>
      <w:r w:rsidR="00613B89" w:rsidRPr="00EF0105">
        <w:t xml:space="preserve">days </w:t>
      </w:r>
      <w:r w:rsidR="009A7EE5" w:rsidRPr="00EF0105">
        <w:t xml:space="preserve">notice to </w:t>
      </w:r>
      <w:r w:rsidRPr="00EF0105">
        <w:t>the other Party in writing of its inte</w:t>
      </w:r>
      <w:r w:rsidR="00001C01">
        <w:t xml:space="preserve">nt to terminate the agreement. </w:t>
      </w:r>
      <w:r w:rsidR="00C245E0" w:rsidRPr="00001C01">
        <w:rPr>
          <w:kern w:val="36"/>
        </w:rPr>
        <w:t xml:space="preserve">Notwithstanding, such termination shall not change, alter, or have any retroactive effect on the status of those </w:t>
      </w:r>
      <w:r w:rsidR="007C517F" w:rsidRPr="00001C01">
        <w:rPr>
          <w:kern w:val="36"/>
        </w:rPr>
        <w:t>uses</w:t>
      </w:r>
      <w:r w:rsidR="00C245E0" w:rsidRPr="00001C01">
        <w:rPr>
          <w:kern w:val="36"/>
        </w:rPr>
        <w:t xml:space="preserve"> designated in SPECIFIC TERMS, Section 8</w:t>
      </w:r>
      <w:r w:rsidR="00174BAB" w:rsidRPr="00001C01">
        <w:rPr>
          <w:kern w:val="36"/>
        </w:rPr>
        <w:t xml:space="preserve"> </w:t>
      </w:r>
      <w:r w:rsidR="00CA278E" w:rsidRPr="00001C01">
        <w:rPr>
          <w:kern w:val="36"/>
        </w:rPr>
        <w:t>Existing</w:t>
      </w:r>
      <w:r w:rsidR="00BB6964" w:rsidRPr="00001C01">
        <w:rPr>
          <w:kern w:val="36"/>
        </w:rPr>
        <w:t xml:space="preserve"> </w:t>
      </w:r>
      <w:r w:rsidR="00C245E0" w:rsidRPr="00001C01">
        <w:rPr>
          <w:kern w:val="36"/>
        </w:rPr>
        <w:t>Use</w:t>
      </w:r>
      <w:r w:rsidR="004F3088" w:rsidRPr="00001C01">
        <w:rPr>
          <w:kern w:val="36"/>
        </w:rPr>
        <w:t>s</w:t>
      </w:r>
      <w:r w:rsidR="00C245E0" w:rsidRPr="00001C01">
        <w:rPr>
          <w:kern w:val="36"/>
        </w:rPr>
        <w:t>, as of the date of termination.</w:t>
      </w:r>
      <w:r w:rsidR="00C245E0" w:rsidRPr="00586F85">
        <w:rPr>
          <w:color w:val="FF0000"/>
          <w:kern w:val="36"/>
        </w:rPr>
        <w:t> </w:t>
      </w:r>
    </w:p>
    <w:p w14:paraId="18EB3907" w14:textId="77777777" w:rsidR="005B6F2A" w:rsidRPr="007F50B9" w:rsidRDefault="00897792" w:rsidP="005F4063">
      <w:pPr>
        <w:pStyle w:val="Heading1"/>
      </w:pPr>
      <w:r w:rsidRPr="005B6F2A">
        <w:rPr>
          <w:rFonts w:cs="Times New Roman"/>
          <w:szCs w:val="24"/>
          <w:u w:val="single"/>
        </w:rPr>
        <w:t>Liability and Indemnification</w:t>
      </w:r>
      <w:r w:rsidRPr="005B6F2A">
        <w:rPr>
          <w:rFonts w:cs="Times New Roman"/>
          <w:szCs w:val="24"/>
        </w:rPr>
        <w:t>.  The Parties are governmental entities under the Governmental Immunity Act of Utah, Title 63, Chapter 30d of the Utah Code.  Consistent with the terms of this Act, it is mutually agreed that each party is responsible and liable for its own wrongful or negligent acts which it commits or which are committed by its agents, officials, or employees in carrying out or fulfilling its obligations under this Agreement.  None of the Parties waive any defenses otherwise available under the Governmental Immunity Act.  Nothing contained in this Agreement shall be construed to create a general obligation liability of the Parties.</w:t>
      </w:r>
      <w:r w:rsidR="007B3477" w:rsidRPr="005B6F2A">
        <w:rPr>
          <w:rFonts w:cs="Times New Roman"/>
          <w:szCs w:val="24"/>
        </w:rPr>
        <w:t xml:space="preserve"> </w:t>
      </w:r>
    </w:p>
    <w:p w14:paraId="12F78236" w14:textId="77777777" w:rsidR="005B6F2A" w:rsidRPr="007F50B9" w:rsidRDefault="005B6F2A" w:rsidP="005F4063">
      <w:pPr>
        <w:pStyle w:val="Heading1"/>
      </w:pPr>
      <w:r w:rsidRPr="005B6F2A">
        <w:rPr>
          <w:rFonts w:cs="Times New Roman"/>
          <w:szCs w:val="24"/>
          <w:u w:val="single"/>
        </w:rPr>
        <w:t>Obligations</w:t>
      </w:r>
      <w:r w:rsidRPr="005B6F2A">
        <w:rPr>
          <w:rFonts w:cs="Times New Roman"/>
          <w:szCs w:val="24"/>
        </w:rPr>
        <w:t>. This Agreement shall not relieve any party of any obligation or responsibility imposed upon it by law and nothing herein shall be construed or give rise to a general obligation or liability of any Party or a charge against its general credit or taxing powers</w:t>
      </w:r>
    </w:p>
    <w:p w14:paraId="3C4AFBBA" w14:textId="77777777" w:rsidR="005B6F2A" w:rsidRPr="00C22923" w:rsidRDefault="005B6F2A" w:rsidP="005F4063">
      <w:pPr>
        <w:pStyle w:val="Heading1"/>
      </w:pPr>
      <w:r w:rsidRPr="005F4063">
        <w:rPr>
          <w:rFonts w:cs="Times New Roman"/>
          <w:szCs w:val="24"/>
          <w:u w:val="single"/>
        </w:rPr>
        <w:t>Se</w:t>
      </w:r>
      <w:r w:rsidRPr="00E740D3">
        <w:rPr>
          <w:rFonts w:cs="Times New Roman"/>
          <w:szCs w:val="24"/>
          <w:u w:val="single"/>
        </w:rPr>
        <w:t>verability Clause</w:t>
      </w:r>
      <w:r w:rsidRPr="00E740D3">
        <w:rPr>
          <w:rFonts w:cs="Times New Roman"/>
          <w:szCs w:val="24"/>
        </w:rPr>
        <w:t xml:space="preserve">. The articles, sections, paragraphs, sentences, clauses, and phrases of this Agreement, and the application thereof, are expressly declared to be severable.  If any such article, section, paragraph, sentence, clause, or phrase, or the application thereof, shall be declared invalid or unconstitutional by the valid judgment or decree of a Court of competent jurisdiction, such invalidity or unconstitutionality shall </w:t>
      </w:r>
      <w:r w:rsidRPr="00C22923">
        <w:rPr>
          <w:rFonts w:cs="Times New Roman"/>
          <w:szCs w:val="24"/>
        </w:rPr>
        <w:t>not affect any of the remaining articles, sections, paragraphs, sentences, clauses, or phrases, or applications, of this Agreement.</w:t>
      </w:r>
    </w:p>
    <w:p w14:paraId="23A7EB8F" w14:textId="77777777" w:rsidR="005B6F2A" w:rsidRPr="00EF0105" w:rsidRDefault="005B6F2A" w:rsidP="00E740D3">
      <w:pPr>
        <w:pStyle w:val="Heading1"/>
        <w:rPr>
          <w:rFonts w:cs="Times New Roman"/>
          <w:szCs w:val="24"/>
        </w:rPr>
      </w:pPr>
      <w:r w:rsidRPr="007F50B9">
        <w:rPr>
          <w:rFonts w:cs="Times New Roman"/>
          <w:szCs w:val="24"/>
          <w:u w:val="single"/>
        </w:rPr>
        <w:t>Captions</w:t>
      </w:r>
      <w:r w:rsidRPr="007F50B9">
        <w:rPr>
          <w:rFonts w:cs="Times New Roman"/>
          <w:szCs w:val="24"/>
        </w:rPr>
        <w:t>. The captions to the various Articles and Sections of this Agreement are for convenience and ease of reference only, and neither define, limit, augment, nor describe the scope, content, and/or intent of this A</w:t>
      </w:r>
      <w:r w:rsidRPr="00EF0105">
        <w:rPr>
          <w:rFonts w:cs="Times New Roman"/>
          <w:szCs w:val="24"/>
        </w:rPr>
        <w:t>greement or any part or parts hereof.</w:t>
      </w:r>
    </w:p>
    <w:p w14:paraId="7C049062" w14:textId="77777777" w:rsidR="00897792" w:rsidRPr="005F4063" w:rsidRDefault="00897792" w:rsidP="00897792">
      <w:pPr>
        <w:pStyle w:val="Heading1"/>
        <w:rPr>
          <w:rFonts w:cs="Times New Roman"/>
          <w:szCs w:val="24"/>
        </w:rPr>
      </w:pPr>
      <w:r w:rsidRPr="005F4063">
        <w:rPr>
          <w:rFonts w:cs="Times New Roman"/>
          <w:szCs w:val="24"/>
          <w:u w:val="single"/>
        </w:rPr>
        <w:t>Interlocal Cooperation Act Requirements.</w:t>
      </w:r>
      <w:r w:rsidRPr="005F4063">
        <w:rPr>
          <w:rFonts w:cs="Times New Roman"/>
          <w:szCs w:val="24"/>
        </w:rPr>
        <w:t xml:space="preserve">  In satisfaction of the requirements of the Interlocal Cooperation Act in connection with this Agreement, the Parties agree as follows:</w:t>
      </w:r>
    </w:p>
    <w:p w14:paraId="5623EBB9" w14:textId="77777777" w:rsidR="00897792" w:rsidRPr="005F4063" w:rsidRDefault="00897792" w:rsidP="00897792">
      <w:pPr>
        <w:pStyle w:val="Heading2"/>
        <w:tabs>
          <w:tab w:val="clear" w:pos="1800"/>
          <w:tab w:val="num" w:pos="2160"/>
        </w:tabs>
        <w:rPr>
          <w:rFonts w:cs="Times New Roman"/>
          <w:szCs w:val="24"/>
        </w:rPr>
      </w:pPr>
      <w:r w:rsidRPr="005F4063">
        <w:rPr>
          <w:rFonts w:cs="Times New Roman"/>
          <w:szCs w:val="24"/>
        </w:rPr>
        <w:t>This Agreement shall be authorized and adopted by resolution of the legislative body of each Party pursuant to and in accordance with the provisions of Utah Code Section 11-13-202.5;</w:t>
      </w:r>
    </w:p>
    <w:p w14:paraId="3B16F63E" w14:textId="77777777" w:rsidR="00897792" w:rsidRPr="005F4063" w:rsidRDefault="00897792" w:rsidP="00897792">
      <w:pPr>
        <w:pStyle w:val="Heading2"/>
        <w:tabs>
          <w:tab w:val="clear" w:pos="1800"/>
          <w:tab w:val="num" w:pos="2160"/>
        </w:tabs>
        <w:rPr>
          <w:rFonts w:cs="Times New Roman"/>
          <w:szCs w:val="24"/>
        </w:rPr>
      </w:pPr>
      <w:r w:rsidRPr="005F4063">
        <w:rPr>
          <w:rFonts w:cs="Times New Roman"/>
          <w:szCs w:val="24"/>
        </w:rPr>
        <w:t>This Agreement shall be reviewed as to proper form and compliance with applicable law by a duly authorized attorney on behalf of each Party pursuant to and in accordance with the Utah Code Section 11-13-202.5(3);</w:t>
      </w:r>
    </w:p>
    <w:p w14:paraId="7AF180C9" w14:textId="77777777" w:rsidR="00897792" w:rsidRPr="005F4063" w:rsidRDefault="00897792" w:rsidP="00897792">
      <w:pPr>
        <w:pStyle w:val="Heading2"/>
        <w:rPr>
          <w:rFonts w:cs="Times New Roman"/>
          <w:szCs w:val="24"/>
        </w:rPr>
      </w:pPr>
      <w:r w:rsidRPr="005F4063">
        <w:rPr>
          <w:rFonts w:cs="Times New Roman"/>
          <w:szCs w:val="24"/>
        </w:rPr>
        <w:t>A duly executed original counterpart of this Agreement shall be filed immediately with the keeper of records of each Party pursuant to Utah Code Section 11-13-209;</w:t>
      </w:r>
    </w:p>
    <w:p w14:paraId="1DE69E2D" w14:textId="77777777" w:rsidR="00897792" w:rsidRPr="005F4063" w:rsidRDefault="00897792" w:rsidP="00897792">
      <w:pPr>
        <w:pStyle w:val="Heading2"/>
        <w:tabs>
          <w:tab w:val="clear" w:pos="1800"/>
          <w:tab w:val="num" w:pos="2160"/>
        </w:tabs>
        <w:rPr>
          <w:rFonts w:cs="Times New Roman"/>
          <w:szCs w:val="24"/>
        </w:rPr>
      </w:pPr>
      <w:r w:rsidRPr="005F4063">
        <w:rPr>
          <w:rFonts w:cs="Times New Roman"/>
          <w:szCs w:val="24"/>
        </w:rPr>
        <w:t xml:space="preserve">The Parties hereby designate the Chairman of the County Commission </w:t>
      </w:r>
      <w:r w:rsidR="009A7EE5" w:rsidRPr="005F4063">
        <w:rPr>
          <w:rFonts w:cs="Times New Roman"/>
          <w:szCs w:val="24"/>
        </w:rPr>
        <w:t xml:space="preserve">and </w:t>
      </w:r>
      <w:r w:rsidR="00D12677" w:rsidRPr="005F4063">
        <w:rPr>
          <w:rFonts w:cs="Times New Roman"/>
          <w:szCs w:val="24"/>
        </w:rPr>
        <w:t>Mayor</w:t>
      </w:r>
      <w:r w:rsidR="009A7EE5" w:rsidRPr="005F4063">
        <w:rPr>
          <w:rFonts w:cs="Times New Roman"/>
          <w:szCs w:val="24"/>
        </w:rPr>
        <w:t xml:space="preserve"> of </w:t>
      </w:r>
      <w:r w:rsidR="00D12677" w:rsidRPr="005F4063">
        <w:rPr>
          <w:rFonts w:cs="Times New Roman"/>
          <w:szCs w:val="24"/>
        </w:rPr>
        <w:t>Leeds Town</w:t>
      </w:r>
      <w:r w:rsidR="009A7EE5" w:rsidRPr="005F4063">
        <w:rPr>
          <w:rFonts w:cs="Times New Roman"/>
          <w:szCs w:val="24"/>
        </w:rPr>
        <w:t xml:space="preserve"> </w:t>
      </w:r>
      <w:r w:rsidRPr="005F4063">
        <w:rPr>
          <w:rFonts w:cs="Times New Roman"/>
          <w:szCs w:val="24"/>
        </w:rPr>
        <w:t>as the Administrator</w:t>
      </w:r>
      <w:r w:rsidR="009A7EE5" w:rsidRPr="005F4063">
        <w:rPr>
          <w:rFonts w:cs="Times New Roman"/>
          <w:szCs w:val="24"/>
        </w:rPr>
        <w:t>s</w:t>
      </w:r>
      <w:r w:rsidRPr="005F4063">
        <w:rPr>
          <w:rFonts w:cs="Times New Roman"/>
          <w:szCs w:val="24"/>
        </w:rPr>
        <w:t xml:space="preserve"> responsible to administer this Agreement and the accomplishment of the purposes of the cooperative action contemplated hereby and specified herein pursuant to Utah Code Section 11-13-207</w:t>
      </w:r>
      <w:r w:rsidR="00345264" w:rsidRPr="005F4063">
        <w:rPr>
          <w:rFonts w:cs="Times New Roman"/>
          <w:szCs w:val="24"/>
        </w:rPr>
        <w:t>;</w:t>
      </w:r>
    </w:p>
    <w:p w14:paraId="334EE144" w14:textId="77777777" w:rsidR="00897792" w:rsidRPr="005F4063" w:rsidRDefault="00897792" w:rsidP="00897792">
      <w:pPr>
        <w:pStyle w:val="Heading2"/>
        <w:tabs>
          <w:tab w:val="clear" w:pos="1800"/>
          <w:tab w:val="num" w:pos="2160"/>
        </w:tabs>
        <w:rPr>
          <w:rFonts w:cs="Times New Roman"/>
          <w:szCs w:val="24"/>
        </w:rPr>
      </w:pPr>
      <w:r w:rsidRPr="005F4063">
        <w:rPr>
          <w:rFonts w:cs="Times New Roman"/>
          <w:szCs w:val="24"/>
        </w:rPr>
        <w:t>The term of this Agreement shall commence on the date of</w:t>
      </w:r>
      <w:r w:rsidR="00D12677" w:rsidRPr="005F4063">
        <w:rPr>
          <w:rFonts w:cs="Times New Roman"/>
          <w:szCs w:val="24"/>
        </w:rPr>
        <w:t xml:space="preserve"> full </w:t>
      </w:r>
      <w:r w:rsidRPr="005F4063">
        <w:rPr>
          <w:rFonts w:cs="Times New Roman"/>
          <w:szCs w:val="24"/>
        </w:rPr>
        <w:t xml:space="preserve">execution of this Agreement by all Parties and shall continue </w:t>
      </w:r>
      <w:r w:rsidR="0098507B" w:rsidRPr="005F4063">
        <w:rPr>
          <w:rFonts w:cs="Times New Roman"/>
          <w:szCs w:val="24"/>
        </w:rPr>
        <w:t>until modified or terminated by either Party</w:t>
      </w:r>
      <w:r w:rsidRPr="005F4063">
        <w:rPr>
          <w:rFonts w:cs="Times New Roman"/>
          <w:szCs w:val="24"/>
        </w:rPr>
        <w:t>;</w:t>
      </w:r>
    </w:p>
    <w:p w14:paraId="7424BB07" w14:textId="77777777" w:rsidR="00897792" w:rsidRPr="005F4063" w:rsidRDefault="00897792" w:rsidP="00897792">
      <w:pPr>
        <w:pStyle w:val="Heading2"/>
        <w:tabs>
          <w:tab w:val="clear" w:pos="1800"/>
        </w:tabs>
        <w:rPr>
          <w:rFonts w:cs="Times New Roman"/>
          <w:szCs w:val="24"/>
        </w:rPr>
      </w:pPr>
      <w:r w:rsidRPr="005F4063">
        <w:rPr>
          <w:rFonts w:cs="Times New Roman"/>
          <w:szCs w:val="24"/>
        </w:rPr>
        <w:t>No real or personal property shall be acquired jointly by the Parties as a result of this Agreement</w:t>
      </w:r>
      <w:r w:rsidR="00345264" w:rsidRPr="005F4063">
        <w:rPr>
          <w:rFonts w:cs="Times New Roman"/>
          <w:szCs w:val="24"/>
        </w:rPr>
        <w:t>; and</w:t>
      </w:r>
    </w:p>
    <w:p w14:paraId="4027E6C4" w14:textId="77777777" w:rsidR="00897792" w:rsidRPr="005F4063" w:rsidRDefault="00897792" w:rsidP="00897792">
      <w:pPr>
        <w:pStyle w:val="Heading2"/>
        <w:tabs>
          <w:tab w:val="clear" w:pos="1800"/>
          <w:tab w:val="num" w:pos="2160"/>
        </w:tabs>
        <w:rPr>
          <w:rFonts w:cs="Times New Roman"/>
          <w:szCs w:val="24"/>
        </w:rPr>
      </w:pPr>
      <w:r w:rsidRPr="005F4063">
        <w:rPr>
          <w:rFonts w:cs="Times New Roman"/>
          <w:szCs w:val="24"/>
        </w:rPr>
        <w:t xml:space="preserve">Following the execution of this Agreement by the Parties, the County shall cause a notice regarding this Agreement to be published on behalf of the Parties in accordance with Utah Code Section 11-13-219; </w:t>
      </w:r>
    </w:p>
    <w:p w14:paraId="55CCC458" w14:textId="77777777" w:rsidR="00897792" w:rsidRPr="005F4063" w:rsidRDefault="00897792" w:rsidP="00897792">
      <w:pPr>
        <w:pStyle w:val="Heading1"/>
        <w:rPr>
          <w:rFonts w:cs="Times New Roman"/>
          <w:szCs w:val="24"/>
        </w:rPr>
      </w:pPr>
      <w:r w:rsidRPr="005F4063">
        <w:rPr>
          <w:rFonts w:cs="Times New Roman"/>
          <w:szCs w:val="24"/>
        </w:rPr>
        <w:t xml:space="preserve">  </w:t>
      </w:r>
      <w:r w:rsidRPr="005F4063">
        <w:rPr>
          <w:rFonts w:cs="Times New Roman"/>
          <w:szCs w:val="24"/>
          <w:u w:val="single"/>
        </w:rPr>
        <w:t>Notices</w:t>
      </w:r>
      <w:r w:rsidRPr="005F4063">
        <w:rPr>
          <w:rFonts w:cs="Times New Roman"/>
          <w:szCs w:val="24"/>
        </w:rPr>
        <w:t>.  All notices, requests, demands and other communications under this Agreement shall be in writing and shall either be delivered personally or sent by first-class mail, postage prepaid, and properly addressed to the Parties at the following addresses:</w:t>
      </w:r>
    </w:p>
    <w:p w14:paraId="2B954753" w14:textId="77777777" w:rsidR="00897792" w:rsidRPr="005B6F2A" w:rsidRDefault="00897792" w:rsidP="00897792">
      <w:pPr>
        <w:ind w:left="1440"/>
      </w:pPr>
    </w:p>
    <w:p w14:paraId="18DE0F73" w14:textId="77777777" w:rsidR="00897792" w:rsidRPr="005B6F2A" w:rsidRDefault="00724D10" w:rsidP="00897792">
      <w:pPr>
        <w:ind w:left="1440"/>
      </w:pPr>
      <w:r w:rsidRPr="005B6F2A">
        <w:t xml:space="preserve">Leeds </w:t>
      </w:r>
      <w:r w:rsidR="00A1308E" w:rsidRPr="005B6F2A">
        <w:t>Town</w:t>
      </w:r>
    </w:p>
    <w:p w14:paraId="1A036F85" w14:textId="77777777" w:rsidR="00AA1C07" w:rsidRPr="00B20CA2" w:rsidRDefault="00897792" w:rsidP="00897792">
      <w:pPr>
        <w:ind w:left="1440"/>
      </w:pPr>
      <w:r w:rsidRPr="005B6F2A">
        <w:t xml:space="preserve">Attn: </w:t>
      </w:r>
      <w:r w:rsidR="00AA1C07" w:rsidRPr="00B20CA2">
        <w:t>Leeds Mayor</w:t>
      </w:r>
    </w:p>
    <w:p w14:paraId="10D9F266" w14:textId="77777777" w:rsidR="00897792" w:rsidRPr="00B20CA2" w:rsidRDefault="00AA1C07" w:rsidP="00897792">
      <w:pPr>
        <w:ind w:left="1440"/>
      </w:pPr>
      <w:r w:rsidRPr="00B20CA2">
        <w:t>PO Box 460879</w:t>
      </w:r>
    </w:p>
    <w:p w14:paraId="1434E58F" w14:textId="77777777" w:rsidR="009A7EE5" w:rsidRPr="005B6F2A" w:rsidRDefault="00A1308E" w:rsidP="00897792">
      <w:pPr>
        <w:ind w:left="1440"/>
      </w:pPr>
      <w:r w:rsidRPr="005B6F2A">
        <w:t>Leeds</w:t>
      </w:r>
      <w:r w:rsidR="009A7EE5" w:rsidRPr="005B6F2A">
        <w:t xml:space="preserve">, Utah </w:t>
      </w:r>
      <w:r w:rsidR="00AA1C07" w:rsidRPr="005B6F2A">
        <w:t>84746-0879</w:t>
      </w:r>
    </w:p>
    <w:p w14:paraId="4C5762C2" w14:textId="77777777" w:rsidR="0004052C" w:rsidRPr="005B6F2A" w:rsidRDefault="0004052C" w:rsidP="00897792">
      <w:pPr>
        <w:ind w:left="1440"/>
      </w:pPr>
    </w:p>
    <w:p w14:paraId="4F749513" w14:textId="77777777" w:rsidR="00897792" w:rsidRPr="005B6F2A" w:rsidRDefault="00897792" w:rsidP="00897792">
      <w:pPr>
        <w:ind w:left="1440"/>
      </w:pPr>
      <w:r w:rsidRPr="005B6F2A">
        <w:t>Washington County, Utah</w:t>
      </w:r>
    </w:p>
    <w:p w14:paraId="4687E99F" w14:textId="77777777" w:rsidR="00897792" w:rsidRPr="005B6F2A" w:rsidRDefault="00897792" w:rsidP="00897792">
      <w:pPr>
        <w:ind w:left="1440"/>
      </w:pPr>
      <w:r w:rsidRPr="005B6F2A">
        <w:t>Attn: Commission Chair</w:t>
      </w:r>
    </w:p>
    <w:p w14:paraId="671A4BEE" w14:textId="77777777" w:rsidR="00897792" w:rsidRPr="005B6F2A" w:rsidRDefault="00897792" w:rsidP="00897792">
      <w:pPr>
        <w:ind w:left="1440"/>
      </w:pPr>
      <w:r w:rsidRPr="005B6F2A">
        <w:t>197 East Tabernacle</w:t>
      </w:r>
    </w:p>
    <w:p w14:paraId="76DFDB20" w14:textId="77777777" w:rsidR="00897792" w:rsidRPr="005B6F2A" w:rsidRDefault="00897792" w:rsidP="00897792">
      <w:pPr>
        <w:ind w:left="1440"/>
      </w:pPr>
      <w:r w:rsidRPr="005B6F2A">
        <w:t>St. George, UT 84770</w:t>
      </w:r>
    </w:p>
    <w:p w14:paraId="04E64986" w14:textId="77777777" w:rsidR="00897792" w:rsidRPr="005B6F2A" w:rsidRDefault="00897792" w:rsidP="00897792">
      <w:pPr>
        <w:pStyle w:val="BodyText1"/>
      </w:pPr>
    </w:p>
    <w:p w14:paraId="119F4691" w14:textId="77777777" w:rsidR="00897792" w:rsidRPr="007F50B9" w:rsidRDefault="00897792" w:rsidP="00897792">
      <w:pPr>
        <w:pStyle w:val="Heading1"/>
        <w:rPr>
          <w:rFonts w:cs="Times New Roman"/>
          <w:szCs w:val="24"/>
        </w:rPr>
      </w:pPr>
      <w:r w:rsidRPr="00C22923">
        <w:rPr>
          <w:rFonts w:cs="Times New Roman"/>
          <w:szCs w:val="24"/>
        </w:rPr>
        <w:t xml:space="preserve">  </w:t>
      </w:r>
      <w:r w:rsidRPr="00C22923">
        <w:rPr>
          <w:rFonts w:cs="Times New Roman"/>
          <w:szCs w:val="24"/>
          <w:u w:val="single"/>
        </w:rPr>
        <w:t>Entire Agreement; Modification; Waiver.</w:t>
      </w:r>
      <w:r w:rsidRPr="00C22923">
        <w:rPr>
          <w:rFonts w:cs="Times New Roman"/>
          <w:szCs w:val="24"/>
        </w:rPr>
        <w:t xml:space="preserve">  This Agreement constitutes the entire agreement between the Parties hereto pertaining to the subject matter hereof and supersedes all prior and contemporaneous agreements, representations and understandings of the Parties.  No supplement, modification, amendment, or waiver of any obligation of this Agreement shall be binding unless executed in writing by all the Parties.  No waiver of any of the provisions of this Agreement shall be deemed or shall constitute a waiver of any other provision, whether or no</w:t>
      </w:r>
      <w:r w:rsidRPr="007F50B9">
        <w:rPr>
          <w:rFonts w:cs="Times New Roman"/>
          <w:szCs w:val="24"/>
        </w:rPr>
        <w:t xml:space="preserve">t similar, nor shall any waiver constitute a continuing waiver.  </w:t>
      </w:r>
    </w:p>
    <w:p w14:paraId="2662D496" w14:textId="77777777" w:rsidR="00897792" w:rsidRPr="00EF0105" w:rsidRDefault="00897792" w:rsidP="00897792">
      <w:pPr>
        <w:pStyle w:val="Heading1"/>
        <w:rPr>
          <w:rFonts w:cs="Times New Roman"/>
          <w:szCs w:val="24"/>
        </w:rPr>
      </w:pPr>
      <w:r w:rsidRPr="00EF0105">
        <w:rPr>
          <w:rFonts w:cs="Times New Roman"/>
          <w:szCs w:val="24"/>
        </w:rPr>
        <w:t xml:space="preserve">  </w:t>
      </w:r>
      <w:r w:rsidRPr="00EF0105">
        <w:rPr>
          <w:rFonts w:cs="Times New Roman"/>
          <w:szCs w:val="24"/>
          <w:u w:val="single"/>
        </w:rPr>
        <w:t>Governing Law.</w:t>
      </w:r>
      <w:r w:rsidRPr="00EF0105">
        <w:rPr>
          <w:rFonts w:cs="Times New Roman"/>
          <w:szCs w:val="24"/>
        </w:rPr>
        <w:t xml:space="preserve">  This Agreement shall be governed by the laws of the State of Utah.</w:t>
      </w:r>
    </w:p>
    <w:p w14:paraId="388242E7" w14:textId="77777777" w:rsidR="00897792" w:rsidRPr="005F4063" w:rsidRDefault="00897792" w:rsidP="00897792">
      <w:pPr>
        <w:pStyle w:val="Heading1"/>
        <w:rPr>
          <w:rFonts w:cs="Times New Roman"/>
          <w:szCs w:val="24"/>
        </w:rPr>
      </w:pPr>
      <w:r w:rsidRPr="005F4063">
        <w:rPr>
          <w:rFonts w:cs="Times New Roman"/>
          <w:szCs w:val="24"/>
        </w:rPr>
        <w:t xml:space="preserve">  </w:t>
      </w:r>
      <w:r w:rsidRPr="005F4063">
        <w:rPr>
          <w:rFonts w:cs="Times New Roman"/>
          <w:szCs w:val="24"/>
          <w:u w:val="single"/>
        </w:rPr>
        <w:t>Counterparts; Filing</w:t>
      </w:r>
      <w:r w:rsidRPr="005F4063">
        <w:rPr>
          <w:rFonts w:cs="Times New Roman"/>
          <w:szCs w:val="24"/>
        </w:rPr>
        <w:t>.  This Agreement may be executed simultaneously in one or more counterparts, each of which shall be deemed an original, but all of which together shall constitute one and the same instrument.</w:t>
      </w:r>
    </w:p>
    <w:p w14:paraId="784D6B89" w14:textId="77777777" w:rsidR="00897792" w:rsidRPr="005B6F2A" w:rsidRDefault="00897792" w:rsidP="00897792">
      <w:pPr>
        <w:pStyle w:val="BodyText5"/>
      </w:pPr>
      <w:r w:rsidRPr="005B6F2A">
        <w:t>IN WITNESS WHEREOF, the parties hereto have entered into this Agreement as of the day and year first written above.</w:t>
      </w:r>
    </w:p>
    <w:p w14:paraId="4D235BE2" w14:textId="77777777" w:rsidR="00EA3B0C" w:rsidRDefault="0004052C" w:rsidP="0004052C">
      <w:pPr>
        <w:pStyle w:val="BodyText5"/>
        <w:ind w:firstLine="0"/>
      </w:pPr>
      <w:r w:rsidRPr="005B6F2A">
        <w:t>DATED this __ day of ____________, 2020.</w:t>
      </w:r>
    </w:p>
    <w:p w14:paraId="6088C358" w14:textId="77777777" w:rsidR="00EA3B0C" w:rsidRDefault="00EA3B0C" w:rsidP="0004052C">
      <w:pPr>
        <w:pStyle w:val="BodyText5"/>
        <w:ind w:firstLine="0"/>
      </w:pPr>
    </w:p>
    <w:p w14:paraId="79BAE36D" w14:textId="77777777" w:rsidR="00EA3B0C" w:rsidRDefault="00EA3B0C" w:rsidP="005F4063">
      <w:pPr>
        <w:pStyle w:val="BodyText5"/>
        <w:ind w:firstLine="0"/>
        <w:jc w:val="center"/>
        <w:rPr>
          <w:i/>
        </w:rPr>
      </w:pPr>
      <w:r w:rsidRPr="005F4063">
        <w:rPr>
          <w:i/>
        </w:rPr>
        <w:t>(Signatures on Next Page)</w:t>
      </w:r>
    </w:p>
    <w:p w14:paraId="523145F1" w14:textId="77777777" w:rsidR="00001C01" w:rsidRDefault="00001C01" w:rsidP="005F4063">
      <w:pPr>
        <w:pStyle w:val="BodyText5"/>
        <w:ind w:firstLine="0"/>
        <w:jc w:val="center"/>
        <w:rPr>
          <w:i/>
        </w:rPr>
      </w:pPr>
    </w:p>
    <w:p w14:paraId="47551115" w14:textId="77777777" w:rsidR="00001C01" w:rsidRDefault="00001C01" w:rsidP="005F4063">
      <w:pPr>
        <w:pStyle w:val="BodyText5"/>
        <w:ind w:firstLine="0"/>
        <w:jc w:val="center"/>
        <w:rPr>
          <w:i/>
        </w:rPr>
      </w:pPr>
    </w:p>
    <w:p w14:paraId="257D2700" w14:textId="77777777" w:rsidR="00001C01" w:rsidRDefault="00001C01" w:rsidP="005F4063">
      <w:pPr>
        <w:pStyle w:val="BodyText5"/>
        <w:ind w:firstLine="0"/>
        <w:jc w:val="center"/>
        <w:rPr>
          <w:i/>
        </w:rPr>
      </w:pPr>
    </w:p>
    <w:p w14:paraId="4D4DF2B5" w14:textId="77777777" w:rsidR="00001C01" w:rsidRDefault="00001C01" w:rsidP="005F4063">
      <w:pPr>
        <w:pStyle w:val="BodyText5"/>
        <w:ind w:firstLine="0"/>
        <w:jc w:val="center"/>
        <w:rPr>
          <w:i/>
        </w:rPr>
      </w:pPr>
    </w:p>
    <w:p w14:paraId="4264DD13" w14:textId="77777777" w:rsidR="00001C01" w:rsidRDefault="00001C01" w:rsidP="005F4063">
      <w:pPr>
        <w:pStyle w:val="BodyText5"/>
        <w:ind w:firstLine="0"/>
        <w:jc w:val="center"/>
        <w:rPr>
          <w:i/>
        </w:rPr>
      </w:pPr>
    </w:p>
    <w:p w14:paraId="3281FB25" w14:textId="77777777" w:rsidR="00001C01" w:rsidRDefault="00001C01" w:rsidP="005F4063">
      <w:pPr>
        <w:pStyle w:val="BodyText5"/>
        <w:ind w:firstLine="0"/>
        <w:jc w:val="center"/>
        <w:rPr>
          <w:i/>
        </w:rPr>
      </w:pPr>
    </w:p>
    <w:p w14:paraId="3F8C7ABB" w14:textId="77777777" w:rsidR="00001C01" w:rsidRDefault="00001C01" w:rsidP="005F4063">
      <w:pPr>
        <w:pStyle w:val="BodyText5"/>
        <w:ind w:firstLine="0"/>
        <w:jc w:val="center"/>
        <w:rPr>
          <w:i/>
        </w:rPr>
      </w:pPr>
    </w:p>
    <w:p w14:paraId="0B4D2BEF" w14:textId="77777777" w:rsidR="00001C01" w:rsidRDefault="00001C01" w:rsidP="005F4063">
      <w:pPr>
        <w:pStyle w:val="BodyText5"/>
        <w:ind w:firstLine="0"/>
        <w:jc w:val="center"/>
        <w:rPr>
          <w:i/>
        </w:rPr>
      </w:pPr>
    </w:p>
    <w:p w14:paraId="2A9B14B1" w14:textId="77777777" w:rsidR="00001C01" w:rsidRDefault="00001C01" w:rsidP="005F4063">
      <w:pPr>
        <w:pStyle w:val="BodyText5"/>
        <w:ind w:firstLine="0"/>
        <w:jc w:val="center"/>
        <w:rPr>
          <w:i/>
        </w:rPr>
      </w:pPr>
    </w:p>
    <w:p w14:paraId="1A758BDE" w14:textId="77777777" w:rsidR="00001C01" w:rsidRDefault="00001C01" w:rsidP="005F4063">
      <w:pPr>
        <w:pStyle w:val="BodyText5"/>
        <w:ind w:firstLine="0"/>
        <w:jc w:val="center"/>
        <w:rPr>
          <w:i/>
        </w:rPr>
      </w:pPr>
    </w:p>
    <w:p w14:paraId="2A8374A7" w14:textId="77777777" w:rsidR="00001C01" w:rsidRDefault="00001C01" w:rsidP="005F4063">
      <w:pPr>
        <w:pStyle w:val="BodyText5"/>
        <w:ind w:firstLine="0"/>
        <w:jc w:val="center"/>
        <w:rPr>
          <w:i/>
        </w:rPr>
      </w:pPr>
    </w:p>
    <w:p w14:paraId="101EFC91" w14:textId="77777777" w:rsidR="00001C01" w:rsidRDefault="00001C01" w:rsidP="005F4063">
      <w:pPr>
        <w:pStyle w:val="BodyText5"/>
        <w:ind w:firstLine="0"/>
        <w:jc w:val="center"/>
        <w:rPr>
          <w:i/>
        </w:rPr>
      </w:pPr>
    </w:p>
    <w:p w14:paraId="0FCC0E9C" w14:textId="77777777" w:rsidR="00001C01" w:rsidRDefault="00001C01" w:rsidP="005F4063">
      <w:pPr>
        <w:pStyle w:val="BodyText5"/>
        <w:ind w:firstLine="0"/>
        <w:jc w:val="center"/>
        <w:rPr>
          <w:i/>
        </w:rPr>
      </w:pPr>
    </w:p>
    <w:p w14:paraId="22593889" w14:textId="77777777" w:rsidR="00001C01" w:rsidRDefault="00001C01" w:rsidP="005F4063">
      <w:pPr>
        <w:pStyle w:val="BodyText5"/>
        <w:ind w:firstLine="0"/>
        <w:jc w:val="center"/>
        <w:rPr>
          <w:i/>
        </w:rPr>
      </w:pPr>
    </w:p>
    <w:p w14:paraId="53DAACA5" w14:textId="77777777" w:rsidR="00001C01" w:rsidRDefault="00001C01" w:rsidP="005F4063">
      <w:pPr>
        <w:pStyle w:val="BodyText5"/>
        <w:ind w:firstLine="0"/>
        <w:jc w:val="center"/>
        <w:rPr>
          <w:i/>
        </w:rPr>
      </w:pPr>
    </w:p>
    <w:p w14:paraId="137527F4" w14:textId="77777777" w:rsidR="00760919" w:rsidRDefault="00760919" w:rsidP="005F4063">
      <w:pPr>
        <w:pStyle w:val="BodyText5"/>
        <w:ind w:firstLine="0"/>
        <w:jc w:val="center"/>
        <w:rPr>
          <w:i/>
        </w:rPr>
      </w:pPr>
    </w:p>
    <w:p w14:paraId="108A83E0" w14:textId="77777777" w:rsidR="00760919" w:rsidRDefault="00760919" w:rsidP="005F4063">
      <w:pPr>
        <w:pStyle w:val="BodyText5"/>
        <w:ind w:firstLine="0"/>
        <w:jc w:val="center"/>
        <w:rPr>
          <w:i/>
        </w:rPr>
      </w:pPr>
    </w:p>
    <w:p w14:paraId="2CF1DFC0" w14:textId="77777777" w:rsidR="00760919" w:rsidRDefault="00760919" w:rsidP="005F4063">
      <w:pPr>
        <w:pStyle w:val="BodyText5"/>
        <w:ind w:firstLine="0"/>
        <w:jc w:val="center"/>
        <w:rPr>
          <w:i/>
        </w:rPr>
      </w:pPr>
    </w:p>
    <w:p w14:paraId="56218524" w14:textId="77777777" w:rsidR="00760919" w:rsidRDefault="00760919" w:rsidP="005F4063">
      <w:pPr>
        <w:pStyle w:val="BodyText5"/>
        <w:ind w:firstLine="0"/>
        <w:jc w:val="center"/>
        <w:rPr>
          <w:i/>
        </w:rPr>
      </w:pPr>
    </w:p>
    <w:p w14:paraId="5EFD9F5A" w14:textId="77777777" w:rsidR="00760919" w:rsidRPr="005F4063" w:rsidRDefault="00760919" w:rsidP="005F4063">
      <w:pPr>
        <w:pStyle w:val="BodyText5"/>
        <w:ind w:firstLine="0"/>
        <w:jc w:val="center"/>
        <w:rPr>
          <w:i/>
        </w:rPr>
      </w:pPr>
    </w:p>
    <w:p w14:paraId="11B3D259" w14:textId="77777777" w:rsidR="00897792" w:rsidRPr="00E740D3" w:rsidRDefault="00897792" w:rsidP="00897792">
      <w:pPr>
        <w:pStyle w:val="BodyTextIndent"/>
        <w:ind w:left="3600"/>
        <w:outlineLvl w:val="0"/>
      </w:pPr>
    </w:p>
    <w:p w14:paraId="3A995CA6" w14:textId="77777777" w:rsidR="00897792" w:rsidRPr="005B6F2A" w:rsidRDefault="00897792" w:rsidP="00613B89">
      <w:pPr>
        <w:pStyle w:val="BodyTextIndent"/>
        <w:ind w:left="3600"/>
        <w:jc w:val="both"/>
        <w:outlineLvl w:val="0"/>
      </w:pPr>
      <w:r w:rsidRPr="005B6F2A">
        <w:t>WASHINGTON COUNTY</w:t>
      </w:r>
    </w:p>
    <w:p w14:paraId="28842E9D" w14:textId="77777777" w:rsidR="00897792" w:rsidRPr="005B6F2A" w:rsidRDefault="00897792" w:rsidP="00613B89">
      <w:pPr>
        <w:pStyle w:val="BodyTextIndent"/>
        <w:ind w:left="3600"/>
        <w:jc w:val="both"/>
      </w:pPr>
    </w:p>
    <w:p w14:paraId="71FCFC7F" w14:textId="77777777" w:rsidR="00897792" w:rsidRPr="005B6F2A" w:rsidRDefault="00897792" w:rsidP="00613B89">
      <w:pPr>
        <w:pStyle w:val="BodyTextIndent"/>
        <w:ind w:left="3600"/>
        <w:jc w:val="both"/>
      </w:pPr>
    </w:p>
    <w:p w14:paraId="116F8E93" w14:textId="77777777" w:rsidR="00897792" w:rsidRPr="005B6F2A" w:rsidRDefault="00897792" w:rsidP="00613B89">
      <w:pPr>
        <w:pStyle w:val="BodyTextIndent"/>
        <w:ind w:left="3600"/>
        <w:jc w:val="both"/>
      </w:pPr>
      <w:r w:rsidRPr="005B6F2A">
        <w:t>________________________________</w:t>
      </w:r>
    </w:p>
    <w:p w14:paraId="7FBD4962" w14:textId="77777777" w:rsidR="00897792" w:rsidRPr="005B6F2A" w:rsidRDefault="0004052C" w:rsidP="0061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60" w:hanging="5760"/>
        <w:jc w:val="both"/>
      </w:pPr>
      <w:r w:rsidRPr="005B6F2A">
        <w:t>Victor Iverson</w:t>
      </w:r>
      <w:r w:rsidR="00897792" w:rsidRPr="005B6F2A">
        <w:t>, Chair</w:t>
      </w:r>
      <w:r w:rsidR="00897792" w:rsidRPr="005B6F2A">
        <w:tab/>
      </w:r>
      <w:r w:rsidR="00897792" w:rsidRPr="005B6F2A">
        <w:tab/>
      </w:r>
    </w:p>
    <w:p w14:paraId="1BB52658" w14:textId="77777777" w:rsidR="00897792" w:rsidRPr="005B6F2A" w:rsidRDefault="00897792" w:rsidP="00613B89">
      <w:pPr>
        <w:ind w:left="3600"/>
        <w:jc w:val="both"/>
      </w:pPr>
      <w:r w:rsidRPr="005B6F2A">
        <w:t>Washington County Commission</w:t>
      </w:r>
    </w:p>
    <w:p w14:paraId="0F8CCD9F" w14:textId="77777777" w:rsidR="00897792" w:rsidRPr="005B6F2A" w:rsidRDefault="00897792" w:rsidP="00897792">
      <w:pPr>
        <w:ind w:left="3600"/>
      </w:pPr>
    </w:p>
    <w:p w14:paraId="27B90376" w14:textId="77777777" w:rsidR="00897792" w:rsidRPr="005B6F2A" w:rsidRDefault="00897792" w:rsidP="00897792">
      <w:pPr>
        <w:ind w:left="3600"/>
      </w:pPr>
    </w:p>
    <w:p w14:paraId="7FC69044" w14:textId="77777777" w:rsidR="00897792" w:rsidRPr="005B6F2A" w:rsidRDefault="00897792" w:rsidP="00897792">
      <w:pPr>
        <w:ind w:left="3600"/>
      </w:pPr>
    </w:p>
    <w:p w14:paraId="7F998F10" w14:textId="77777777" w:rsidR="00897792" w:rsidRPr="005B6F2A" w:rsidRDefault="00A1308E" w:rsidP="00897792">
      <w:pPr>
        <w:ind w:left="3600"/>
      </w:pPr>
      <w:r w:rsidRPr="005B6F2A">
        <w:t>LEEDS TOWN</w:t>
      </w:r>
    </w:p>
    <w:p w14:paraId="41125D83" w14:textId="77777777" w:rsidR="00897792" w:rsidRPr="005B6F2A" w:rsidRDefault="00897792" w:rsidP="00897792">
      <w:pPr>
        <w:ind w:left="3600"/>
      </w:pPr>
    </w:p>
    <w:p w14:paraId="789A3870" w14:textId="77777777" w:rsidR="00897792" w:rsidRPr="005B6F2A" w:rsidRDefault="00897792" w:rsidP="00897792">
      <w:pPr>
        <w:ind w:left="3600"/>
      </w:pPr>
    </w:p>
    <w:p w14:paraId="4F741653" w14:textId="77777777" w:rsidR="00897792" w:rsidRPr="005B6F2A" w:rsidRDefault="00897792" w:rsidP="00897792">
      <w:pPr>
        <w:ind w:left="3600"/>
      </w:pPr>
    </w:p>
    <w:p w14:paraId="33894EE3" w14:textId="77777777" w:rsidR="00897792" w:rsidRPr="005B6F2A" w:rsidRDefault="00897792" w:rsidP="00897792">
      <w:pPr>
        <w:ind w:left="3600"/>
        <w:rPr>
          <w:u w:val="single"/>
        </w:rPr>
      </w:pPr>
      <w:r w:rsidRPr="005B6F2A">
        <w:rPr>
          <w:u w:val="single"/>
        </w:rPr>
        <w:tab/>
      </w:r>
      <w:r w:rsidRPr="005B6F2A">
        <w:rPr>
          <w:u w:val="single"/>
        </w:rPr>
        <w:tab/>
      </w:r>
      <w:r w:rsidRPr="005B6F2A">
        <w:rPr>
          <w:u w:val="single"/>
        </w:rPr>
        <w:tab/>
      </w:r>
      <w:r w:rsidRPr="005B6F2A">
        <w:rPr>
          <w:u w:val="single"/>
        </w:rPr>
        <w:tab/>
      </w:r>
      <w:r w:rsidRPr="005B6F2A">
        <w:rPr>
          <w:u w:val="single"/>
        </w:rPr>
        <w:tab/>
      </w:r>
    </w:p>
    <w:p w14:paraId="35A4210C" w14:textId="6DED5361" w:rsidR="009A7EE5" w:rsidRPr="005B6F2A" w:rsidRDefault="009A7EE5" w:rsidP="00897792">
      <w:pPr>
        <w:ind w:left="3600"/>
      </w:pPr>
      <w:r w:rsidRPr="005B6F2A">
        <w:t xml:space="preserve">Wayne Peterson, </w:t>
      </w:r>
      <w:r w:rsidR="00AA1C07" w:rsidRPr="005B6F2A">
        <w:t>Mayor</w:t>
      </w:r>
      <w:r w:rsidR="00C9187E">
        <w:t xml:space="preserve">, </w:t>
      </w:r>
      <w:r w:rsidR="00AA1C07" w:rsidRPr="005B6F2A">
        <w:t>Leeds</w:t>
      </w:r>
      <w:r w:rsidR="009F4FBE" w:rsidRPr="005B6F2A">
        <w:t xml:space="preserve"> Town</w:t>
      </w:r>
    </w:p>
    <w:p w14:paraId="7494A73E" w14:textId="77777777" w:rsidR="00897792" w:rsidRPr="005B6F2A" w:rsidRDefault="00897792" w:rsidP="00897792">
      <w:pPr>
        <w:ind w:left="3600"/>
        <w:rPr>
          <w:u w:val="single"/>
        </w:rPr>
      </w:pPr>
    </w:p>
    <w:p w14:paraId="05E0E638" w14:textId="77777777" w:rsidR="00897792" w:rsidRPr="005B6F2A" w:rsidRDefault="00897792" w:rsidP="00897792">
      <w:r w:rsidRPr="005B6F2A">
        <w:tab/>
      </w:r>
    </w:p>
    <w:p w14:paraId="1FECAD04" w14:textId="77777777" w:rsidR="00897792" w:rsidRPr="005B6F2A" w:rsidRDefault="00897792" w:rsidP="00897792">
      <w:pPr>
        <w:ind w:left="720"/>
        <w:outlineLvl w:val="0"/>
      </w:pPr>
      <w:r w:rsidRPr="005B6F2A">
        <w:t>Attest:</w:t>
      </w:r>
    </w:p>
    <w:p w14:paraId="55B62E8B" w14:textId="77777777" w:rsidR="00897792" w:rsidRPr="005B6F2A" w:rsidRDefault="00897792" w:rsidP="00897792"/>
    <w:p w14:paraId="49247E43" w14:textId="77777777" w:rsidR="00897792" w:rsidRPr="005B6F2A" w:rsidRDefault="00897792" w:rsidP="00897792"/>
    <w:p w14:paraId="180C9C2C" w14:textId="77777777" w:rsidR="00897792" w:rsidRPr="005B6F2A" w:rsidRDefault="00897792" w:rsidP="00897792"/>
    <w:p w14:paraId="36CFF091" w14:textId="77777777" w:rsidR="00897792" w:rsidRPr="005B6F2A" w:rsidRDefault="00897792" w:rsidP="00613B89">
      <w:pPr>
        <w:tabs>
          <w:tab w:val="left" w:pos="5760"/>
        </w:tabs>
        <w:ind w:left="1440" w:hanging="720"/>
        <w:rPr>
          <w:u w:val="single"/>
        </w:rPr>
      </w:pPr>
      <w:r w:rsidRPr="005B6F2A">
        <w:t>_________________________________</w:t>
      </w:r>
      <w:r w:rsidR="00613B89" w:rsidRPr="005B6F2A">
        <w:tab/>
      </w:r>
      <w:r w:rsidR="00613B89" w:rsidRPr="005B6F2A">
        <w:rPr>
          <w:u w:val="single"/>
        </w:rPr>
        <w:tab/>
      </w:r>
      <w:r w:rsidR="00613B89" w:rsidRPr="005B6F2A">
        <w:rPr>
          <w:u w:val="single"/>
        </w:rPr>
        <w:tab/>
      </w:r>
      <w:r w:rsidR="00613B89" w:rsidRPr="005B6F2A">
        <w:rPr>
          <w:u w:val="single"/>
        </w:rPr>
        <w:tab/>
      </w:r>
      <w:r w:rsidR="00613B89" w:rsidRPr="005B6F2A">
        <w:rPr>
          <w:u w:val="single"/>
        </w:rPr>
        <w:tab/>
      </w:r>
    </w:p>
    <w:p w14:paraId="624CC76F" w14:textId="77777777" w:rsidR="00897792" w:rsidRPr="005B6F2A" w:rsidRDefault="00897792" w:rsidP="00897792">
      <w:pPr>
        <w:ind w:left="1440" w:hanging="720"/>
        <w:outlineLvl w:val="0"/>
      </w:pPr>
      <w:r w:rsidRPr="005B6F2A">
        <w:t xml:space="preserve">Kim M. </w:t>
      </w:r>
      <w:proofErr w:type="spellStart"/>
      <w:r w:rsidRPr="005B6F2A">
        <w:t>Hafen</w:t>
      </w:r>
      <w:proofErr w:type="spellEnd"/>
      <w:r w:rsidR="0012038A" w:rsidRPr="005B6F2A">
        <w:tab/>
      </w:r>
      <w:r w:rsidR="0012038A" w:rsidRPr="005B6F2A">
        <w:tab/>
      </w:r>
      <w:r w:rsidR="0012038A" w:rsidRPr="005B6F2A">
        <w:tab/>
      </w:r>
      <w:r w:rsidR="0012038A" w:rsidRPr="005B6F2A">
        <w:tab/>
      </w:r>
      <w:r w:rsidR="0012038A" w:rsidRPr="005B6F2A">
        <w:tab/>
      </w:r>
      <w:r w:rsidR="0012038A" w:rsidRPr="005B6F2A">
        <w:tab/>
      </w:r>
    </w:p>
    <w:p w14:paraId="368BE895" w14:textId="77777777" w:rsidR="00897792" w:rsidRPr="005B6F2A" w:rsidRDefault="00897792" w:rsidP="00897792">
      <w:pPr>
        <w:ind w:left="1440" w:hanging="720"/>
      </w:pPr>
      <w:r w:rsidRPr="005B6F2A">
        <w:t>Washington County Clerk-Auditor</w:t>
      </w:r>
      <w:r w:rsidR="0012038A" w:rsidRPr="005B6F2A">
        <w:tab/>
      </w:r>
      <w:r w:rsidR="0012038A" w:rsidRPr="005B6F2A">
        <w:tab/>
      </w:r>
      <w:r w:rsidR="0012038A" w:rsidRPr="005B6F2A">
        <w:tab/>
      </w:r>
      <w:r w:rsidR="00A1308E" w:rsidRPr="005B6F2A">
        <w:t>Leeds Town Clerk</w:t>
      </w:r>
    </w:p>
    <w:p w14:paraId="30666E40" w14:textId="77777777" w:rsidR="00897792" w:rsidRPr="005B6F2A" w:rsidRDefault="00897792" w:rsidP="00897792">
      <w:pPr>
        <w:ind w:left="1440" w:hanging="720"/>
      </w:pPr>
    </w:p>
    <w:p w14:paraId="64A06A16" w14:textId="77777777" w:rsidR="00897792" w:rsidRPr="005B6F2A" w:rsidRDefault="00897792" w:rsidP="00897792">
      <w:pPr>
        <w:ind w:left="1440" w:hanging="720"/>
      </w:pPr>
      <w:r w:rsidRPr="005B6F2A">
        <w:t>Date:_____________________________</w:t>
      </w:r>
      <w:r w:rsidR="0012038A" w:rsidRPr="005B6F2A">
        <w:tab/>
      </w:r>
      <w:r w:rsidR="0012038A" w:rsidRPr="005B6F2A">
        <w:tab/>
        <w:t>Date:___________________</w:t>
      </w:r>
    </w:p>
    <w:p w14:paraId="7912A9DA" w14:textId="77777777" w:rsidR="00897792" w:rsidRPr="005B6F2A"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C0B048F" w14:textId="77777777" w:rsidR="00897792" w:rsidRPr="005B6F2A"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6F2A">
        <w:tab/>
      </w:r>
    </w:p>
    <w:p w14:paraId="2DBABF3D" w14:textId="77777777" w:rsidR="00897792" w:rsidRPr="005B6F2A"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6F2A">
        <w:tab/>
        <w:t>Approved as to Form:</w:t>
      </w:r>
    </w:p>
    <w:p w14:paraId="7047401A" w14:textId="77777777" w:rsidR="00897792" w:rsidRPr="005B6F2A"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8732771" w14:textId="77777777" w:rsidR="00897792" w:rsidRPr="005B6F2A"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4BD1FF2" w14:textId="77777777" w:rsidR="00897792" w:rsidRPr="005B6F2A"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67F7789" w14:textId="77777777" w:rsidR="00897792" w:rsidRPr="005B6F2A"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B6F2A">
        <w:tab/>
        <w:t xml:space="preserve">_________________________________  </w:t>
      </w:r>
      <w:r w:rsidR="0012038A" w:rsidRPr="005B6F2A">
        <w:tab/>
      </w:r>
      <w:r w:rsidR="0012038A" w:rsidRPr="005B6F2A">
        <w:tab/>
        <w:t>________________________</w:t>
      </w:r>
    </w:p>
    <w:p w14:paraId="3319768C" w14:textId="77777777" w:rsidR="00897792" w:rsidRPr="005B6F2A" w:rsidRDefault="00897792" w:rsidP="00897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B6F2A">
        <w:tab/>
        <w:t>Deputy Washington County Attorney</w:t>
      </w:r>
      <w:r w:rsidR="0012038A" w:rsidRPr="005B6F2A">
        <w:tab/>
      </w:r>
      <w:r w:rsidR="00A1308E" w:rsidRPr="005B6F2A">
        <w:tab/>
        <w:t>Leeds Town</w:t>
      </w:r>
      <w:r w:rsidR="0012038A" w:rsidRPr="005B6F2A">
        <w:t xml:space="preserve"> Attorney</w:t>
      </w:r>
    </w:p>
    <w:p w14:paraId="72E5A00A" w14:textId="77777777" w:rsidR="00897792" w:rsidRDefault="00897792" w:rsidP="00897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398EE6" w14:textId="77777777" w:rsidR="00897792" w:rsidRDefault="00897792" w:rsidP="008977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p>
    <w:p w14:paraId="312C03B8" w14:textId="77777777" w:rsidR="004C20D7" w:rsidRDefault="004C20D7"/>
    <w:sectPr w:rsidR="004C20D7" w:rsidSect="003D67F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216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BD522" w14:textId="77777777" w:rsidR="00FE4616" w:rsidRDefault="00FE4616">
      <w:r>
        <w:separator/>
      </w:r>
    </w:p>
  </w:endnote>
  <w:endnote w:type="continuationSeparator" w:id="0">
    <w:p w14:paraId="115A8215" w14:textId="77777777" w:rsidR="00FE4616" w:rsidRDefault="00FE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3BB3" w14:textId="77777777" w:rsidR="00412DDF" w:rsidRDefault="0041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272652"/>
      <w:docPartObj>
        <w:docPartGallery w:val="Page Numbers (Bottom of Page)"/>
        <w:docPartUnique/>
      </w:docPartObj>
    </w:sdtPr>
    <w:sdtEndPr>
      <w:rPr>
        <w:noProof/>
      </w:rPr>
    </w:sdtEndPr>
    <w:sdtContent>
      <w:p w14:paraId="7A568111" w14:textId="77777777" w:rsidR="003D67F4" w:rsidRDefault="00ED68B7">
        <w:pPr>
          <w:pStyle w:val="Footer"/>
          <w:jc w:val="center"/>
        </w:pPr>
        <w:r>
          <w:fldChar w:fldCharType="begin"/>
        </w:r>
        <w:r w:rsidR="003D67F4">
          <w:instrText xml:space="preserve"> PAGE   \* MERGEFORMAT </w:instrText>
        </w:r>
        <w:r>
          <w:fldChar w:fldCharType="separate"/>
        </w:r>
        <w:r w:rsidR="00760919">
          <w:rPr>
            <w:noProof/>
          </w:rPr>
          <w:t>7</w:t>
        </w:r>
        <w:r>
          <w:rPr>
            <w:noProof/>
          </w:rPr>
          <w:fldChar w:fldCharType="end"/>
        </w:r>
      </w:p>
    </w:sdtContent>
  </w:sdt>
  <w:p w14:paraId="63A272E4" w14:textId="77777777" w:rsidR="00D60812" w:rsidRDefault="00FE4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252753"/>
      <w:docPartObj>
        <w:docPartGallery w:val="Page Numbers (Bottom of Page)"/>
        <w:docPartUnique/>
      </w:docPartObj>
    </w:sdtPr>
    <w:sdtEndPr>
      <w:rPr>
        <w:noProof/>
      </w:rPr>
    </w:sdtEndPr>
    <w:sdtContent>
      <w:p w14:paraId="31792EE4" w14:textId="77777777" w:rsidR="00780F47" w:rsidRDefault="00ED68B7">
        <w:pPr>
          <w:pStyle w:val="Footer"/>
          <w:jc w:val="center"/>
        </w:pPr>
        <w:r>
          <w:fldChar w:fldCharType="begin"/>
        </w:r>
        <w:r w:rsidR="00780F47">
          <w:instrText xml:space="preserve"> PAGE   \* MERGEFORMAT </w:instrText>
        </w:r>
        <w:r>
          <w:fldChar w:fldCharType="separate"/>
        </w:r>
        <w:r w:rsidR="00760919">
          <w:rPr>
            <w:noProof/>
          </w:rPr>
          <w:t>1</w:t>
        </w:r>
        <w:r>
          <w:rPr>
            <w:noProof/>
          </w:rPr>
          <w:fldChar w:fldCharType="end"/>
        </w:r>
      </w:p>
    </w:sdtContent>
  </w:sdt>
  <w:p w14:paraId="1108B008" w14:textId="77777777" w:rsidR="00D60812" w:rsidRDefault="00FE4616">
    <w:pPr>
      <w:pStyle w:val="Footer"/>
      <w:tabs>
        <w:tab w:val="clear" w:pos="4680"/>
        <w:tab w:val="center" w:pos="4320"/>
      </w:tabs>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14A6" w14:textId="77777777" w:rsidR="00FE4616" w:rsidRDefault="00FE4616">
      <w:r>
        <w:separator/>
      </w:r>
    </w:p>
  </w:footnote>
  <w:footnote w:type="continuationSeparator" w:id="0">
    <w:p w14:paraId="65B6F759" w14:textId="77777777" w:rsidR="00FE4616" w:rsidRDefault="00FE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6615" w14:textId="4B1E83C9" w:rsidR="00412DDF" w:rsidRDefault="00412DDF">
    <w:pPr>
      <w:pStyle w:val="Header"/>
    </w:pPr>
    <w:r>
      <w:rPr>
        <w:noProof/>
      </w:rPr>
      <w:pict w14:anchorId="3D2B8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74891" o:spid="_x0000_s2053" type="#_x0000_t136" style="position:absolute;margin-left:0;margin-top:0;width:435.05pt;height:174pt;rotation:315;z-index:-251655168;mso-position-horizontal:center;mso-position-horizontal-relative:margin;mso-position-vertical:center;mso-position-vertical-relative:margin" o:allowincell="f" fillcolor="#c00000"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8856" w14:textId="6B8A91F8" w:rsidR="00412DDF" w:rsidRDefault="00412DDF">
    <w:pPr>
      <w:pStyle w:val="Header"/>
    </w:pPr>
    <w:r>
      <w:rPr>
        <w:noProof/>
      </w:rPr>
      <w:pict w14:anchorId="58B9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74892" o:spid="_x0000_s2054" type="#_x0000_t136" style="position:absolute;margin-left:0;margin-top:0;width:435.05pt;height:174pt;rotation:315;z-index:-251653120;mso-position-horizontal:center;mso-position-horizontal-relative:margin;mso-position-vertical:center;mso-position-vertical-relative:margin" o:allowincell="f" fillcolor="#c00000"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75E99" w14:textId="6C2756F6" w:rsidR="00412DDF" w:rsidRDefault="00412DDF">
    <w:pPr>
      <w:pStyle w:val="Header"/>
    </w:pPr>
    <w:r>
      <w:rPr>
        <w:noProof/>
      </w:rPr>
      <w:pict w14:anchorId="3FCF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674890" o:spid="_x0000_s2052" type="#_x0000_t136" style="position:absolute;margin-left:0;margin-top:0;width:435.05pt;height:174pt;rotation:315;z-index:-251657216;mso-position-horizontal:center;mso-position-horizontal-relative:margin;mso-position-vertical:center;mso-position-vertical-relative:margin" o:allowincell="f" fillcolor="#c00000"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F620E"/>
    <w:multiLevelType w:val="multilevel"/>
    <w:tmpl w:val="FA1CCF18"/>
    <w:lvl w:ilvl="0">
      <w:start w:val="1"/>
      <w:numFmt w:val="decimal"/>
      <w:pStyle w:val="Heading1"/>
      <w:lvlText w:val="Section %1."/>
      <w:lvlJc w:val="left"/>
      <w:pPr>
        <w:tabs>
          <w:tab w:val="num" w:pos="1800"/>
        </w:tabs>
        <w:ind w:left="0" w:firstLine="720"/>
      </w:pPr>
      <w:rPr>
        <w:rFonts w:hint="default"/>
        <w:caps w:val="0"/>
        <w:color w:val="auto"/>
        <w:u w:val="single"/>
      </w:rPr>
    </w:lvl>
    <w:lvl w:ilvl="1">
      <w:start w:val="1"/>
      <w:numFmt w:val="lowerLetter"/>
      <w:pStyle w:val="Heading2"/>
      <w:lvlText w:val="(%2)"/>
      <w:lvlJc w:val="left"/>
      <w:pPr>
        <w:tabs>
          <w:tab w:val="num" w:pos="1800"/>
        </w:tabs>
        <w:ind w:left="720" w:firstLine="720"/>
      </w:pPr>
      <w:rPr>
        <w:rFonts w:hint="default"/>
        <w:caps w:val="0"/>
        <w:color w:val="auto"/>
        <w:u w:val="none"/>
      </w:rPr>
    </w:lvl>
    <w:lvl w:ilvl="2">
      <w:start w:val="1"/>
      <w:numFmt w:val="lowerRoman"/>
      <w:pStyle w:val="Heading3"/>
      <w:lvlText w:val="(%3)"/>
      <w:lvlJc w:val="left"/>
      <w:pPr>
        <w:tabs>
          <w:tab w:val="num" w:pos="3600"/>
        </w:tabs>
        <w:ind w:left="0" w:firstLine="2880"/>
      </w:pPr>
      <w:rPr>
        <w:rFonts w:hint="default"/>
        <w:caps w:val="0"/>
        <w:color w:val="auto"/>
        <w:u w:val="none"/>
      </w:rPr>
    </w:lvl>
    <w:lvl w:ilvl="3">
      <w:start w:val="1"/>
      <w:numFmt w:val="decimal"/>
      <w:pStyle w:val="Heading4"/>
      <w:lvlText w:val="(%4)"/>
      <w:lvlJc w:val="left"/>
      <w:pPr>
        <w:tabs>
          <w:tab w:val="num" w:pos="4320"/>
        </w:tabs>
        <w:ind w:left="0" w:firstLine="3600"/>
      </w:pPr>
      <w:rPr>
        <w:rFonts w:hint="default"/>
        <w:caps w:val="0"/>
        <w:color w:val="auto"/>
        <w:u w:val="none"/>
      </w:rPr>
    </w:lvl>
    <w:lvl w:ilvl="4">
      <w:start w:val="1"/>
      <w:numFmt w:val="lowerLetter"/>
      <w:pStyle w:val="Heading5"/>
      <w:lvlText w:val="%5."/>
      <w:lvlJc w:val="left"/>
      <w:pPr>
        <w:tabs>
          <w:tab w:val="num" w:pos="5040"/>
        </w:tabs>
        <w:ind w:left="0" w:firstLine="4320"/>
      </w:pPr>
      <w:rPr>
        <w:rFonts w:hint="default"/>
        <w:caps w:val="0"/>
        <w:color w:val="auto"/>
        <w:u w:val="none"/>
      </w:rPr>
    </w:lvl>
    <w:lvl w:ilvl="5">
      <w:start w:val="1"/>
      <w:numFmt w:val="lowerRoman"/>
      <w:pStyle w:val="Heading6"/>
      <w:lvlText w:val="%6."/>
      <w:lvlJc w:val="left"/>
      <w:pPr>
        <w:tabs>
          <w:tab w:val="num" w:pos="5760"/>
        </w:tabs>
        <w:ind w:left="0" w:firstLine="5040"/>
      </w:pPr>
      <w:rPr>
        <w:rFonts w:hint="default"/>
        <w:caps w:val="0"/>
        <w:color w:val="auto"/>
        <w:u w:val="none"/>
      </w:rPr>
    </w:lvl>
    <w:lvl w:ilvl="6">
      <w:start w:val="1"/>
      <w:numFmt w:val="decimal"/>
      <w:pStyle w:val="Heading7"/>
      <w:lvlText w:val="%7)"/>
      <w:lvlJc w:val="left"/>
      <w:pPr>
        <w:tabs>
          <w:tab w:val="num" w:pos="6480"/>
        </w:tabs>
        <w:ind w:left="0" w:firstLine="5760"/>
      </w:pPr>
      <w:rPr>
        <w:rFonts w:hint="default"/>
        <w:caps w:val="0"/>
        <w:color w:val="auto"/>
        <w:u w:val="none"/>
      </w:rPr>
    </w:lvl>
    <w:lvl w:ilvl="7">
      <w:start w:val="1"/>
      <w:numFmt w:val="lowerLetter"/>
      <w:pStyle w:val="Heading8"/>
      <w:lvlText w:val="%8)"/>
      <w:lvlJc w:val="left"/>
      <w:pPr>
        <w:tabs>
          <w:tab w:val="num" w:pos="7200"/>
        </w:tabs>
        <w:ind w:left="0" w:firstLine="6480"/>
      </w:pPr>
      <w:rPr>
        <w:rFonts w:hint="default"/>
        <w:caps w:val="0"/>
        <w:color w:val="auto"/>
        <w:u w:val="none"/>
      </w:rPr>
    </w:lvl>
    <w:lvl w:ilvl="8">
      <w:start w:val="1"/>
      <w:numFmt w:val="lowerRoman"/>
      <w:pStyle w:val="Heading9"/>
      <w:lvlText w:val="%9)"/>
      <w:lvlJc w:val="left"/>
      <w:pPr>
        <w:tabs>
          <w:tab w:val="num" w:pos="7920"/>
        </w:tabs>
        <w:ind w:left="0" w:firstLine="7200"/>
      </w:pPr>
      <w:rPr>
        <w:rFonts w:hint="default"/>
        <w:caps w:val="0"/>
        <w:color w:val="auto"/>
        <w:u w:val="none"/>
      </w:rPr>
    </w:lvl>
  </w:abstractNum>
  <w:abstractNum w:abstractNumId="1" w15:restartNumberingAfterBreak="0">
    <w:nsid w:val="2D0C57BD"/>
    <w:multiLevelType w:val="multilevel"/>
    <w:tmpl w:val="DF9889C0"/>
    <w:lvl w:ilvl="0">
      <w:start w:val="2"/>
      <w:numFmt w:val="decimal"/>
      <w:lvlText w:val="%1."/>
      <w:lvlJc w:val="left"/>
      <w:pPr>
        <w:ind w:left="16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438237F"/>
    <w:multiLevelType w:val="multilevel"/>
    <w:tmpl w:val="FE50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92"/>
    <w:rsid w:val="00001C01"/>
    <w:rsid w:val="0000572B"/>
    <w:rsid w:val="00010E61"/>
    <w:rsid w:val="0004052C"/>
    <w:rsid w:val="00050CA4"/>
    <w:rsid w:val="0006167D"/>
    <w:rsid w:val="0006645E"/>
    <w:rsid w:val="000A498C"/>
    <w:rsid w:val="000D4CD7"/>
    <w:rsid w:val="000E5C61"/>
    <w:rsid w:val="000F3F04"/>
    <w:rsid w:val="00104DC5"/>
    <w:rsid w:val="00107C04"/>
    <w:rsid w:val="0012038A"/>
    <w:rsid w:val="0016223B"/>
    <w:rsid w:val="00172F74"/>
    <w:rsid w:val="00174BAB"/>
    <w:rsid w:val="001914AC"/>
    <w:rsid w:val="00193047"/>
    <w:rsid w:val="001B5AF3"/>
    <w:rsid w:val="00237A29"/>
    <w:rsid w:val="002577C1"/>
    <w:rsid w:val="00297EFB"/>
    <w:rsid w:val="002B20B6"/>
    <w:rsid w:val="002B40B4"/>
    <w:rsid w:val="002B5174"/>
    <w:rsid w:val="002F72F6"/>
    <w:rsid w:val="00312A25"/>
    <w:rsid w:val="0032442A"/>
    <w:rsid w:val="003371A3"/>
    <w:rsid w:val="00345264"/>
    <w:rsid w:val="0034698F"/>
    <w:rsid w:val="00350B3B"/>
    <w:rsid w:val="00376D10"/>
    <w:rsid w:val="0038281B"/>
    <w:rsid w:val="003A1C5F"/>
    <w:rsid w:val="003A5FA2"/>
    <w:rsid w:val="003D67F4"/>
    <w:rsid w:val="00412DDF"/>
    <w:rsid w:val="00432E14"/>
    <w:rsid w:val="004447D4"/>
    <w:rsid w:val="00481EA4"/>
    <w:rsid w:val="004A6ED6"/>
    <w:rsid w:val="004B0A81"/>
    <w:rsid w:val="004B636A"/>
    <w:rsid w:val="004C20D7"/>
    <w:rsid w:val="004E1FCE"/>
    <w:rsid w:val="004E64AB"/>
    <w:rsid w:val="004F3088"/>
    <w:rsid w:val="00512E0A"/>
    <w:rsid w:val="00586F85"/>
    <w:rsid w:val="005B6F2A"/>
    <w:rsid w:val="005C4830"/>
    <w:rsid w:val="005C7321"/>
    <w:rsid w:val="005D4F24"/>
    <w:rsid w:val="005F4063"/>
    <w:rsid w:val="00613B89"/>
    <w:rsid w:val="006322F0"/>
    <w:rsid w:val="00633542"/>
    <w:rsid w:val="006773C5"/>
    <w:rsid w:val="006A1C1E"/>
    <w:rsid w:val="006E45CE"/>
    <w:rsid w:val="006F02A2"/>
    <w:rsid w:val="006F6A2F"/>
    <w:rsid w:val="006F7CA7"/>
    <w:rsid w:val="00724D10"/>
    <w:rsid w:val="00755520"/>
    <w:rsid w:val="007568CD"/>
    <w:rsid w:val="00760919"/>
    <w:rsid w:val="0076155C"/>
    <w:rsid w:val="007714EF"/>
    <w:rsid w:val="00771C35"/>
    <w:rsid w:val="00780F47"/>
    <w:rsid w:val="007818AF"/>
    <w:rsid w:val="00794125"/>
    <w:rsid w:val="007A20B5"/>
    <w:rsid w:val="007B3477"/>
    <w:rsid w:val="007C517F"/>
    <w:rsid w:val="007D2D6F"/>
    <w:rsid w:val="007F50B9"/>
    <w:rsid w:val="00820358"/>
    <w:rsid w:val="00897042"/>
    <w:rsid w:val="00897792"/>
    <w:rsid w:val="008A02F1"/>
    <w:rsid w:val="00931363"/>
    <w:rsid w:val="00936F2A"/>
    <w:rsid w:val="00982433"/>
    <w:rsid w:val="0098507B"/>
    <w:rsid w:val="009865F6"/>
    <w:rsid w:val="00992730"/>
    <w:rsid w:val="009A52D3"/>
    <w:rsid w:val="009A7EE5"/>
    <w:rsid w:val="009B66B0"/>
    <w:rsid w:val="009E5BB8"/>
    <w:rsid w:val="009F4FBE"/>
    <w:rsid w:val="00A11BD2"/>
    <w:rsid w:val="00A1308E"/>
    <w:rsid w:val="00A22A7D"/>
    <w:rsid w:val="00A40B15"/>
    <w:rsid w:val="00A42BB4"/>
    <w:rsid w:val="00A44C57"/>
    <w:rsid w:val="00A62C4C"/>
    <w:rsid w:val="00A66A79"/>
    <w:rsid w:val="00A734CB"/>
    <w:rsid w:val="00A8288F"/>
    <w:rsid w:val="00A82D9D"/>
    <w:rsid w:val="00A92330"/>
    <w:rsid w:val="00AA1C07"/>
    <w:rsid w:val="00AD3FC6"/>
    <w:rsid w:val="00AE7AA3"/>
    <w:rsid w:val="00AF2AD8"/>
    <w:rsid w:val="00B11A49"/>
    <w:rsid w:val="00B20CA2"/>
    <w:rsid w:val="00B312CB"/>
    <w:rsid w:val="00BA027C"/>
    <w:rsid w:val="00BA7785"/>
    <w:rsid w:val="00BB6964"/>
    <w:rsid w:val="00BD3111"/>
    <w:rsid w:val="00BE7BAD"/>
    <w:rsid w:val="00BF2009"/>
    <w:rsid w:val="00BF6AFB"/>
    <w:rsid w:val="00C22923"/>
    <w:rsid w:val="00C245E0"/>
    <w:rsid w:val="00C37892"/>
    <w:rsid w:val="00C9187E"/>
    <w:rsid w:val="00CA278E"/>
    <w:rsid w:val="00CA2FF8"/>
    <w:rsid w:val="00CD1340"/>
    <w:rsid w:val="00CD4DF8"/>
    <w:rsid w:val="00D12677"/>
    <w:rsid w:val="00D137B2"/>
    <w:rsid w:val="00D1729A"/>
    <w:rsid w:val="00D26FB5"/>
    <w:rsid w:val="00D41EDF"/>
    <w:rsid w:val="00D44A02"/>
    <w:rsid w:val="00D62909"/>
    <w:rsid w:val="00E10642"/>
    <w:rsid w:val="00E26351"/>
    <w:rsid w:val="00E70E1B"/>
    <w:rsid w:val="00E738AA"/>
    <w:rsid w:val="00E740D3"/>
    <w:rsid w:val="00E95208"/>
    <w:rsid w:val="00E968D3"/>
    <w:rsid w:val="00EA3B0C"/>
    <w:rsid w:val="00EC308E"/>
    <w:rsid w:val="00ED68B7"/>
    <w:rsid w:val="00EF0105"/>
    <w:rsid w:val="00F22D82"/>
    <w:rsid w:val="00F4309B"/>
    <w:rsid w:val="00F600B2"/>
    <w:rsid w:val="00F603E2"/>
    <w:rsid w:val="00FE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1380AE9"/>
  <w15:docId w15:val="{6AA77436-F278-4ADA-89BB-DAE4092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9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1"/>
    <w:link w:val="Heading1Char"/>
    <w:qFormat/>
    <w:rsid w:val="00897792"/>
    <w:pPr>
      <w:numPr>
        <w:numId w:val="1"/>
      </w:numPr>
      <w:spacing w:after="240"/>
      <w:jc w:val="both"/>
      <w:outlineLvl w:val="0"/>
    </w:pPr>
    <w:rPr>
      <w:rFonts w:cs="Arial"/>
      <w:bCs/>
      <w:szCs w:val="32"/>
    </w:rPr>
  </w:style>
  <w:style w:type="paragraph" w:styleId="Heading2">
    <w:name w:val="heading 2"/>
    <w:basedOn w:val="Normal"/>
    <w:next w:val="BodyText1"/>
    <w:link w:val="Heading2Char"/>
    <w:qFormat/>
    <w:rsid w:val="00897792"/>
    <w:pPr>
      <w:numPr>
        <w:ilvl w:val="1"/>
        <w:numId w:val="1"/>
      </w:numPr>
      <w:spacing w:after="240"/>
      <w:jc w:val="both"/>
      <w:outlineLvl w:val="1"/>
    </w:pPr>
    <w:rPr>
      <w:rFonts w:cs="Arial"/>
      <w:bCs/>
      <w:iCs/>
      <w:szCs w:val="28"/>
    </w:rPr>
  </w:style>
  <w:style w:type="paragraph" w:styleId="Heading3">
    <w:name w:val="heading 3"/>
    <w:basedOn w:val="Normal"/>
    <w:next w:val="BodyText1"/>
    <w:link w:val="Heading3Char"/>
    <w:qFormat/>
    <w:rsid w:val="00897792"/>
    <w:pPr>
      <w:numPr>
        <w:ilvl w:val="2"/>
        <w:numId w:val="1"/>
      </w:numPr>
      <w:spacing w:after="240"/>
      <w:jc w:val="both"/>
      <w:outlineLvl w:val="2"/>
    </w:pPr>
    <w:rPr>
      <w:rFonts w:cs="Arial"/>
      <w:bCs/>
      <w:szCs w:val="26"/>
    </w:rPr>
  </w:style>
  <w:style w:type="paragraph" w:styleId="Heading4">
    <w:name w:val="heading 4"/>
    <w:basedOn w:val="Normal"/>
    <w:next w:val="BodyText1"/>
    <w:link w:val="Heading4Char"/>
    <w:qFormat/>
    <w:rsid w:val="00897792"/>
    <w:pPr>
      <w:numPr>
        <w:ilvl w:val="3"/>
        <w:numId w:val="1"/>
      </w:numPr>
      <w:spacing w:after="240"/>
      <w:jc w:val="both"/>
      <w:outlineLvl w:val="3"/>
    </w:pPr>
    <w:rPr>
      <w:bCs/>
      <w:szCs w:val="28"/>
    </w:rPr>
  </w:style>
  <w:style w:type="paragraph" w:styleId="Heading5">
    <w:name w:val="heading 5"/>
    <w:basedOn w:val="Normal"/>
    <w:next w:val="BodyText1"/>
    <w:link w:val="Heading5Char"/>
    <w:qFormat/>
    <w:rsid w:val="00897792"/>
    <w:pPr>
      <w:numPr>
        <w:ilvl w:val="4"/>
        <w:numId w:val="1"/>
      </w:numPr>
      <w:spacing w:after="240"/>
      <w:jc w:val="both"/>
      <w:outlineLvl w:val="4"/>
    </w:pPr>
    <w:rPr>
      <w:bCs/>
      <w:iCs/>
      <w:szCs w:val="26"/>
    </w:rPr>
  </w:style>
  <w:style w:type="paragraph" w:styleId="Heading6">
    <w:name w:val="heading 6"/>
    <w:basedOn w:val="Normal"/>
    <w:next w:val="BodyText1"/>
    <w:link w:val="Heading6Char"/>
    <w:qFormat/>
    <w:rsid w:val="00897792"/>
    <w:pPr>
      <w:numPr>
        <w:ilvl w:val="5"/>
        <w:numId w:val="1"/>
      </w:numPr>
      <w:spacing w:after="240"/>
      <w:jc w:val="both"/>
      <w:outlineLvl w:val="5"/>
    </w:pPr>
    <w:rPr>
      <w:bCs/>
      <w:szCs w:val="22"/>
    </w:rPr>
  </w:style>
  <w:style w:type="paragraph" w:styleId="Heading7">
    <w:name w:val="heading 7"/>
    <w:basedOn w:val="Normal"/>
    <w:next w:val="BodyText1"/>
    <w:link w:val="Heading7Char"/>
    <w:qFormat/>
    <w:rsid w:val="00897792"/>
    <w:pPr>
      <w:numPr>
        <w:ilvl w:val="6"/>
        <w:numId w:val="1"/>
      </w:numPr>
      <w:spacing w:after="240"/>
      <w:jc w:val="both"/>
      <w:outlineLvl w:val="6"/>
    </w:pPr>
  </w:style>
  <w:style w:type="paragraph" w:styleId="Heading8">
    <w:name w:val="heading 8"/>
    <w:basedOn w:val="Normal"/>
    <w:next w:val="BodyText1"/>
    <w:link w:val="Heading8Char"/>
    <w:qFormat/>
    <w:rsid w:val="00897792"/>
    <w:pPr>
      <w:numPr>
        <w:ilvl w:val="7"/>
        <w:numId w:val="1"/>
      </w:numPr>
      <w:spacing w:after="240"/>
      <w:jc w:val="both"/>
      <w:outlineLvl w:val="7"/>
    </w:pPr>
    <w:rPr>
      <w:iCs/>
    </w:rPr>
  </w:style>
  <w:style w:type="paragraph" w:styleId="Heading9">
    <w:name w:val="heading 9"/>
    <w:basedOn w:val="Normal"/>
    <w:next w:val="BodyText1"/>
    <w:link w:val="Heading9Char"/>
    <w:qFormat/>
    <w:rsid w:val="00897792"/>
    <w:pPr>
      <w:numPr>
        <w:ilvl w:val="8"/>
        <w:numId w:val="1"/>
      </w:num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792"/>
    <w:rPr>
      <w:rFonts w:ascii="Times New Roman" w:eastAsia="Times New Roman" w:hAnsi="Times New Roman" w:cs="Arial"/>
      <w:bCs/>
      <w:sz w:val="24"/>
      <w:szCs w:val="32"/>
    </w:rPr>
  </w:style>
  <w:style w:type="character" w:customStyle="1" w:styleId="Heading2Char">
    <w:name w:val="Heading 2 Char"/>
    <w:basedOn w:val="DefaultParagraphFont"/>
    <w:link w:val="Heading2"/>
    <w:rsid w:val="00897792"/>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897792"/>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897792"/>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897792"/>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897792"/>
    <w:rPr>
      <w:rFonts w:ascii="Times New Roman" w:eastAsia="Times New Roman" w:hAnsi="Times New Roman" w:cs="Times New Roman"/>
      <w:bCs/>
      <w:sz w:val="24"/>
    </w:rPr>
  </w:style>
  <w:style w:type="character" w:customStyle="1" w:styleId="Heading7Char">
    <w:name w:val="Heading 7 Char"/>
    <w:basedOn w:val="DefaultParagraphFont"/>
    <w:link w:val="Heading7"/>
    <w:rsid w:val="0089779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9779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897792"/>
    <w:rPr>
      <w:rFonts w:ascii="Times New Roman" w:eastAsia="Times New Roman" w:hAnsi="Times New Roman" w:cs="Arial"/>
      <w:sz w:val="24"/>
    </w:rPr>
  </w:style>
  <w:style w:type="paragraph" w:styleId="Footer">
    <w:name w:val="footer"/>
    <w:basedOn w:val="Normal"/>
    <w:link w:val="FooterChar"/>
    <w:uiPriority w:val="99"/>
    <w:rsid w:val="00897792"/>
    <w:pPr>
      <w:tabs>
        <w:tab w:val="center" w:pos="4680"/>
        <w:tab w:val="right" w:pos="9360"/>
      </w:tabs>
    </w:pPr>
  </w:style>
  <w:style w:type="character" w:customStyle="1" w:styleId="FooterChar">
    <w:name w:val="Footer Char"/>
    <w:basedOn w:val="DefaultParagraphFont"/>
    <w:link w:val="Footer"/>
    <w:uiPriority w:val="99"/>
    <w:rsid w:val="00897792"/>
    <w:rPr>
      <w:rFonts w:ascii="Times New Roman" w:eastAsia="Times New Roman" w:hAnsi="Times New Roman" w:cs="Times New Roman"/>
      <w:sz w:val="24"/>
      <w:szCs w:val="24"/>
    </w:rPr>
  </w:style>
  <w:style w:type="character" w:customStyle="1" w:styleId="DOCID">
    <w:name w:val="DOCID"/>
    <w:basedOn w:val="DefaultParagraphFont"/>
    <w:rsid w:val="00897792"/>
    <w:rPr>
      <w:rFonts w:ascii="Arial" w:hAnsi="Arial"/>
      <w:b w:val="0"/>
      <w:sz w:val="16"/>
    </w:rPr>
  </w:style>
  <w:style w:type="paragraph" w:customStyle="1" w:styleId="BodyText5">
    <w:name w:val="* Body Text .5"/>
    <w:basedOn w:val="Normal"/>
    <w:rsid w:val="00897792"/>
    <w:pPr>
      <w:spacing w:after="240"/>
      <w:ind w:firstLine="720"/>
      <w:jc w:val="both"/>
    </w:pPr>
  </w:style>
  <w:style w:type="paragraph" w:customStyle="1" w:styleId="BodyText1">
    <w:name w:val="* Body Text 1"/>
    <w:basedOn w:val="Normal"/>
    <w:rsid w:val="00897792"/>
    <w:pPr>
      <w:spacing w:after="240"/>
      <w:ind w:firstLine="1440"/>
    </w:pPr>
  </w:style>
  <w:style w:type="paragraph" w:customStyle="1" w:styleId="Normal0">
    <w:name w:val="* Normal"/>
    <w:basedOn w:val="Normal"/>
    <w:rsid w:val="00897792"/>
    <w:pPr>
      <w:spacing w:after="240"/>
    </w:pPr>
  </w:style>
  <w:style w:type="character" w:customStyle="1" w:styleId="DocID0">
    <w:name w:val="DocID"/>
    <w:basedOn w:val="DefaultParagraphFont"/>
    <w:rsid w:val="00897792"/>
    <w:rPr>
      <w:rFonts w:ascii="Arial" w:hAnsi="Arial"/>
      <w:sz w:val="16"/>
    </w:rPr>
  </w:style>
  <w:style w:type="character" w:styleId="PageNumber">
    <w:name w:val="page number"/>
    <w:basedOn w:val="DefaultParagraphFont"/>
    <w:rsid w:val="00897792"/>
  </w:style>
  <w:style w:type="paragraph" w:styleId="BodyTextIndent">
    <w:name w:val="Body Text Indent"/>
    <w:basedOn w:val="Normal"/>
    <w:link w:val="BodyTextIndentChar"/>
    <w:rsid w:val="00897792"/>
    <w:pPr>
      <w:ind w:left="720"/>
    </w:pPr>
  </w:style>
  <w:style w:type="character" w:customStyle="1" w:styleId="BodyTextIndentChar">
    <w:name w:val="Body Text Indent Char"/>
    <w:basedOn w:val="DefaultParagraphFont"/>
    <w:link w:val="BodyTextIndent"/>
    <w:rsid w:val="0089779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67F4"/>
    <w:pPr>
      <w:tabs>
        <w:tab w:val="center" w:pos="4680"/>
        <w:tab w:val="right" w:pos="9360"/>
      </w:tabs>
    </w:pPr>
  </w:style>
  <w:style w:type="character" w:customStyle="1" w:styleId="HeaderChar">
    <w:name w:val="Header Char"/>
    <w:basedOn w:val="DefaultParagraphFont"/>
    <w:link w:val="Header"/>
    <w:uiPriority w:val="99"/>
    <w:rsid w:val="003D67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B3B"/>
    <w:rPr>
      <w:rFonts w:ascii="Segoe UI" w:eastAsia="Times New Roman" w:hAnsi="Segoe UI" w:cs="Segoe UI"/>
      <w:sz w:val="18"/>
      <w:szCs w:val="18"/>
    </w:rPr>
  </w:style>
  <w:style w:type="paragraph" w:styleId="ListParagraph">
    <w:name w:val="List Paragraph"/>
    <w:basedOn w:val="Normal"/>
    <w:uiPriority w:val="34"/>
    <w:qFormat/>
    <w:rsid w:val="005B6F2A"/>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BE3AD-82FF-4F69-ADF6-1DF164A4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Nelson</dc:creator>
  <cp:lastModifiedBy>Wayne Peterson</cp:lastModifiedBy>
  <cp:revision>4</cp:revision>
  <cp:lastPrinted>2020-11-19T18:37:00Z</cp:lastPrinted>
  <dcterms:created xsi:type="dcterms:W3CDTF">2020-11-19T18:38:00Z</dcterms:created>
  <dcterms:modified xsi:type="dcterms:W3CDTF">2020-11-19T19:09:00Z</dcterms:modified>
</cp:coreProperties>
</file>